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1F75">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3569E259">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6CE6461B">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280F882E">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73DDE9C0">
      <w:pPr>
        <w:keepNext w:val="0"/>
        <w:keepLines w:val="0"/>
        <w:pageBreakBefore w:val="0"/>
        <w:widowControl w:val="0"/>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方正小标宋简体" w:cs="Times New Roman"/>
          <w:color w:val="auto"/>
          <w:sz w:val="52"/>
          <w:szCs w:val="52"/>
        </w:rPr>
      </w:pPr>
      <w:r>
        <w:rPr>
          <w:rFonts w:hint="default" w:ascii="Times New Roman" w:hAnsi="Times New Roman" w:eastAsia="方正小标宋简体" w:cs="Times New Roman"/>
          <w:color w:val="auto"/>
          <w:sz w:val="52"/>
          <w:szCs w:val="52"/>
        </w:rPr>
        <w:t>衡水市</w:t>
      </w:r>
      <w:r>
        <w:rPr>
          <w:rFonts w:hint="default" w:ascii="Times New Roman" w:hAnsi="Times New Roman" w:eastAsia="方正小标宋简体" w:cs="Times New Roman"/>
          <w:color w:val="auto"/>
          <w:sz w:val="52"/>
          <w:szCs w:val="52"/>
          <w:lang w:val="en-US" w:eastAsia="zh-CN"/>
        </w:rPr>
        <w:t>大气环境</w:t>
      </w:r>
      <w:r>
        <w:rPr>
          <w:rFonts w:hint="default" w:ascii="Times New Roman" w:hAnsi="Times New Roman" w:eastAsia="方正小标宋简体" w:cs="Times New Roman"/>
          <w:color w:val="auto"/>
          <w:sz w:val="52"/>
          <w:szCs w:val="52"/>
        </w:rPr>
        <w:t>质量</w:t>
      </w:r>
      <w:r>
        <w:rPr>
          <w:rFonts w:hint="default" w:ascii="Times New Roman" w:hAnsi="Times New Roman" w:eastAsia="方正小标宋简体" w:cs="Times New Roman"/>
          <w:color w:val="auto"/>
          <w:sz w:val="52"/>
          <w:szCs w:val="52"/>
          <w:lang w:val="en-US" w:eastAsia="zh-CN"/>
        </w:rPr>
        <w:t>限期</w:t>
      </w:r>
      <w:r>
        <w:rPr>
          <w:rFonts w:hint="default" w:ascii="Times New Roman" w:hAnsi="Times New Roman" w:eastAsia="方正小标宋简体" w:cs="Times New Roman"/>
          <w:color w:val="auto"/>
          <w:sz w:val="52"/>
          <w:szCs w:val="52"/>
        </w:rPr>
        <w:t>达标规划</w:t>
      </w:r>
    </w:p>
    <w:p w14:paraId="02BD0BED">
      <w:pPr>
        <w:pStyle w:val="11"/>
        <w:adjustRightInd w:val="0"/>
        <w:snapToGrid w:val="0"/>
        <w:spacing w:after="0"/>
        <w:ind w:left="0" w:leftChars="0" w:firstLine="0" w:firstLineChars="0"/>
        <w:jc w:val="center"/>
        <w:rPr>
          <w:rFonts w:hint="default" w:ascii="Times New Roman" w:hAnsi="Times New Roman" w:eastAsia="方正小标宋简体" w:cs="Times New Roman"/>
          <w:color w:val="auto"/>
          <w:sz w:val="52"/>
          <w:szCs w:val="52"/>
          <w:lang w:eastAsia="zh-CN"/>
        </w:rPr>
      </w:pPr>
      <w:r>
        <w:rPr>
          <w:rFonts w:hint="default" w:ascii="Times New Roman" w:hAnsi="Times New Roman" w:eastAsia="方正小标宋简体" w:cs="Times New Roman"/>
          <w:color w:val="auto"/>
          <w:sz w:val="52"/>
          <w:szCs w:val="52"/>
          <w:lang w:eastAsia="zh-CN"/>
        </w:rPr>
        <w:t>（</w:t>
      </w:r>
      <w:r>
        <w:rPr>
          <w:rFonts w:hint="default" w:ascii="Times New Roman" w:hAnsi="Times New Roman" w:eastAsia="方正小标宋简体" w:cs="Times New Roman"/>
          <w:color w:val="auto"/>
          <w:sz w:val="52"/>
          <w:szCs w:val="52"/>
          <w:lang w:val="en-US" w:eastAsia="zh-CN"/>
        </w:rPr>
        <w:t>2025—2035年</w:t>
      </w:r>
      <w:r>
        <w:rPr>
          <w:rFonts w:hint="default" w:ascii="Times New Roman" w:hAnsi="Times New Roman" w:eastAsia="方正小标宋简体" w:cs="Times New Roman"/>
          <w:color w:val="auto"/>
          <w:sz w:val="52"/>
          <w:szCs w:val="52"/>
          <w:lang w:eastAsia="zh-CN"/>
        </w:rPr>
        <w:t>）</w:t>
      </w:r>
    </w:p>
    <w:p w14:paraId="108E43FD">
      <w:pPr>
        <w:pStyle w:val="11"/>
        <w:adjustRightInd w:val="0"/>
        <w:snapToGrid w:val="0"/>
        <w:spacing w:after="0"/>
        <w:ind w:left="0" w:leftChars="0" w:firstLine="0" w:firstLineChars="0"/>
        <w:jc w:val="center"/>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征求意见稿</w:t>
      </w:r>
      <w:r>
        <w:rPr>
          <w:rFonts w:hint="default" w:ascii="Times New Roman" w:hAnsi="Times New Roman" w:eastAsia="楷体_GB2312" w:cs="Times New Roman"/>
          <w:color w:val="auto"/>
          <w:sz w:val="32"/>
          <w:szCs w:val="32"/>
          <w:lang w:eastAsia="zh-CN"/>
        </w:rPr>
        <w:t>）</w:t>
      </w:r>
    </w:p>
    <w:p w14:paraId="0531EFC2">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方正小标宋简体" w:cs="Times New Roman"/>
          <w:color w:val="auto"/>
          <w:sz w:val="52"/>
          <w:szCs w:val="52"/>
          <w:lang w:val="en-US" w:eastAsia="zh-CN"/>
        </w:rPr>
      </w:pPr>
    </w:p>
    <w:p w14:paraId="0FD42E09">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方正小标宋简体" w:cs="Times New Roman"/>
          <w:color w:val="auto"/>
          <w:sz w:val="52"/>
          <w:szCs w:val="52"/>
          <w:lang w:val="en-US" w:eastAsia="zh-CN"/>
        </w:rPr>
      </w:pPr>
    </w:p>
    <w:p w14:paraId="7C47FA07">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4CF59031">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6A3C7739">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74B08847">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21E6F916">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6F91DAE9">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0E9F9A96">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44"/>
          <w:szCs w:val="44"/>
        </w:rPr>
      </w:pPr>
    </w:p>
    <w:p w14:paraId="2415CC6E">
      <w:pPr>
        <w:keepNext w:val="0"/>
        <w:keepLines w:val="0"/>
        <w:pageBreakBefore w:val="0"/>
        <w:widowControl w:val="0"/>
        <w:kinsoku/>
        <w:wordWrap/>
        <w:overflowPunct/>
        <w:topLinePunct w:val="0"/>
        <w:autoSpaceDE/>
        <w:autoSpaceDN/>
        <w:bidi w:val="0"/>
        <w:adjustRightInd/>
        <w:snapToGrid/>
        <w:spacing w:line="606" w:lineRule="exact"/>
        <w:jc w:val="center"/>
        <w:textAlignment w:val="auto"/>
        <w:outlineLvl w:val="9"/>
        <w:rPr>
          <w:rFonts w:hint="default" w:ascii="Times New Roman" w:hAnsi="Times New Roman" w:eastAsia="方正小标宋简体" w:cs="Times New Roman"/>
          <w:color w:val="auto"/>
          <w:sz w:val="36"/>
          <w:szCs w:val="36"/>
          <w:lang w:val="en-US" w:eastAsia="zh-CN"/>
        </w:rPr>
        <w:sectPr>
          <w:headerReference r:id="rId3" w:type="first"/>
          <w:footerReference r:id="rId6" w:type="first"/>
          <w:footerReference r:id="rId4" w:type="default"/>
          <w:footerReference r:id="rId5" w:type="even"/>
          <w:pgSz w:w="11906" w:h="16838"/>
          <w:pgMar w:top="1871" w:right="1587" w:bottom="1474" w:left="1587" w:header="851" w:footer="992" w:gutter="0"/>
          <w:pgNumType w:fmt="decimal"/>
          <w:cols w:space="0" w:num="1"/>
          <w:rtlGutter w:val="0"/>
          <w:docGrid w:type="lines" w:linePitch="312" w:charSpace="0"/>
        </w:sectPr>
      </w:pPr>
      <w:r>
        <w:rPr>
          <w:rFonts w:hint="default" w:ascii="Times New Roman" w:hAnsi="Times New Roman" w:eastAsia="方正小标宋简体" w:cs="Times New Roman"/>
          <w:color w:val="auto"/>
          <w:sz w:val="36"/>
          <w:szCs w:val="36"/>
          <w:lang w:val="en-US" w:eastAsia="zh-CN"/>
        </w:rPr>
        <w:t>2025年</w:t>
      </w:r>
      <w:r>
        <w:rPr>
          <w:rFonts w:hint="eastAsia" w:ascii="Times New Roman" w:hAnsi="Times New Roman" w:eastAsia="方正小标宋简体" w:cs="Times New Roman"/>
          <w:color w:val="auto"/>
          <w:sz w:val="36"/>
          <w:szCs w:val="36"/>
          <w:lang w:val="en-US" w:eastAsia="zh-CN"/>
        </w:rPr>
        <w:t>10</w:t>
      </w:r>
      <w:r>
        <w:rPr>
          <w:rFonts w:hint="default" w:ascii="Times New Roman" w:hAnsi="Times New Roman" w:eastAsia="方正小标宋简体" w:cs="Times New Roman"/>
          <w:color w:val="auto"/>
          <w:sz w:val="36"/>
          <w:szCs w:val="36"/>
          <w:lang w:val="en-US" w:eastAsia="zh-CN"/>
        </w:rPr>
        <w:t>月</w:t>
      </w:r>
    </w:p>
    <w:sdt>
      <w:sdtPr>
        <w:rPr>
          <w:rFonts w:ascii="宋体" w:hAnsi="宋体" w:eastAsia="宋体" w:cs="Calibri"/>
          <w:b w:val="0"/>
          <w:bCs w:val="0"/>
          <w:kern w:val="2"/>
          <w:sz w:val="44"/>
          <w:szCs w:val="44"/>
          <w:lang w:val="en-US" w:eastAsia="zh-CN" w:bidi="ar-SA"/>
        </w:rPr>
        <w:id w:val="147464855"/>
        <w15:color w:val="DBDBDB"/>
        <w:docPartObj>
          <w:docPartGallery w:val="Table of Contents"/>
          <w:docPartUnique/>
        </w:docPartObj>
      </w:sdtPr>
      <w:sdtEndPr>
        <w:rPr>
          <w:rFonts w:ascii="Calibri" w:hAnsi="Calibri" w:eastAsia="宋体" w:cs="Calibri"/>
          <w:b w:val="0"/>
          <w:bCs w:val="0"/>
          <w:kern w:val="2"/>
          <w:sz w:val="21"/>
          <w:szCs w:val="21"/>
          <w:lang w:val="en-US" w:eastAsia="zh-CN" w:bidi="ar-SA"/>
        </w:rPr>
      </w:sdtEndPr>
      <w:sdtContent>
        <w:p w14:paraId="7EB615A5">
          <w:pPr>
            <w:keepNext w:val="0"/>
            <w:keepLines w:val="0"/>
            <w:pageBreakBefore w:val="0"/>
            <w:widowControl w:val="0"/>
            <w:kinsoku/>
            <w:wordWrap/>
            <w:overflowPunct/>
            <w:topLinePunct w:val="0"/>
            <w:autoSpaceDE/>
            <w:autoSpaceDN/>
            <w:bidi w:val="0"/>
            <w:adjustRightInd/>
            <w:snapToGrid/>
            <w:spacing w:before="0" w:beforeLines="0" w:after="313" w:afterLines="100" w:line="240" w:lineRule="auto"/>
            <w:ind w:left="0" w:leftChars="0" w:right="0" w:rightChars="0" w:firstLine="0" w:firstLineChars="0"/>
            <w:jc w:val="center"/>
            <w:textAlignment w:val="auto"/>
            <w:rPr>
              <w:b w:val="0"/>
              <w:bCs w:val="0"/>
              <w:sz w:val="44"/>
              <w:szCs w:val="44"/>
            </w:rPr>
          </w:pPr>
          <w:r>
            <w:rPr>
              <w:rFonts w:ascii="宋体" w:hAnsi="宋体" w:eastAsia="宋体"/>
              <w:b w:val="0"/>
              <w:bCs w:val="0"/>
              <w:sz w:val="44"/>
              <w:szCs w:val="44"/>
            </w:rPr>
            <w:t>目</w:t>
          </w:r>
          <w:r>
            <w:rPr>
              <w:rFonts w:hint="eastAsia" w:ascii="宋体" w:hAnsi="宋体" w:eastAsia="宋体"/>
              <w:b w:val="0"/>
              <w:bCs w:val="0"/>
              <w:sz w:val="44"/>
              <w:szCs w:val="44"/>
              <w:lang w:val="en-US" w:eastAsia="zh-CN"/>
            </w:rPr>
            <w:t xml:space="preserve">  </w:t>
          </w:r>
          <w:r>
            <w:rPr>
              <w:rFonts w:ascii="宋体" w:hAnsi="宋体" w:eastAsia="宋体"/>
              <w:b w:val="0"/>
              <w:bCs w:val="0"/>
              <w:sz w:val="44"/>
              <w:szCs w:val="44"/>
            </w:rPr>
            <w:t>录</w:t>
          </w:r>
        </w:p>
        <w:p w14:paraId="18901B03">
          <w:pPr>
            <w:pStyle w:val="9"/>
            <w:tabs>
              <w:tab w:val="right" w:leader="dot" w:pos="8732"/>
            </w:tabs>
            <w:rPr>
              <w:sz w:val="28"/>
              <w:szCs w:val="28"/>
            </w:rPr>
          </w:pPr>
          <w:r>
            <w:fldChar w:fldCharType="begin"/>
          </w:r>
          <w:r>
            <w:instrText xml:space="preserve">TOC \o "1-2" \h \u </w:instrText>
          </w:r>
          <w:r>
            <w:fldChar w:fldCharType="separate"/>
          </w:r>
          <w:r>
            <w:rPr>
              <w:sz w:val="28"/>
              <w:szCs w:val="28"/>
            </w:rPr>
            <w:fldChar w:fldCharType="begin"/>
          </w:r>
          <w:r>
            <w:rPr>
              <w:sz w:val="28"/>
              <w:szCs w:val="28"/>
            </w:rPr>
            <w:instrText xml:space="preserve"> HYPERLINK \l _Toc8697 </w:instrText>
          </w:r>
          <w:r>
            <w:rPr>
              <w:sz w:val="28"/>
              <w:szCs w:val="28"/>
            </w:rPr>
            <w:fldChar w:fldCharType="separate"/>
          </w:r>
          <w:r>
            <w:rPr>
              <w:rFonts w:hint="default" w:ascii="Times New Roman" w:hAnsi="Times New Roman" w:cs="Times New Roman"/>
              <w:bCs w:val="0"/>
              <w:sz w:val="28"/>
              <w:szCs w:val="28"/>
            </w:rPr>
            <w:t>一、</w:t>
          </w:r>
          <w:r>
            <w:rPr>
              <w:rFonts w:hint="default" w:ascii="Times New Roman" w:hAnsi="Times New Roman" w:cs="Times New Roman"/>
              <w:bCs w:val="0"/>
              <w:sz w:val="28"/>
              <w:szCs w:val="28"/>
              <w:lang w:val="en-US" w:eastAsia="zh-CN"/>
            </w:rPr>
            <w:t>环境</w:t>
          </w:r>
          <w:r>
            <w:rPr>
              <w:rFonts w:hint="default" w:ascii="Times New Roman" w:hAnsi="Times New Roman" w:cs="Times New Roman"/>
              <w:bCs w:val="0"/>
              <w:sz w:val="28"/>
              <w:szCs w:val="28"/>
            </w:rPr>
            <w:t>空气质量现状与达标压力分析</w:t>
          </w:r>
          <w:r>
            <w:rPr>
              <w:sz w:val="28"/>
              <w:szCs w:val="28"/>
            </w:rPr>
            <w:tab/>
          </w:r>
          <w:r>
            <w:rPr>
              <w:sz w:val="28"/>
              <w:szCs w:val="28"/>
            </w:rPr>
            <w:fldChar w:fldCharType="begin"/>
          </w:r>
          <w:r>
            <w:rPr>
              <w:sz w:val="28"/>
              <w:szCs w:val="28"/>
            </w:rPr>
            <w:instrText xml:space="preserve"> PAGEREF _Toc8697 \h </w:instrText>
          </w:r>
          <w:r>
            <w:rPr>
              <w:sz w:val="28"/>
              <w:szCs w:val="28"/>
            </w:rPr>
            <w:fldChar w:fldCharType="separate"/>
          </w:r>
          <w:r>
            <w:rPr>
              <w:sz w:val="28"/>
              <w:szCs w:val="28"/>
            </w:rPr>
            <w:t>1</w:t>
          </w:r>
          <w:r>
            <w:rPr>
              <w:sz w:val="28"/>
              <w:szCs w:val="28"/>
            </w:rPr>
            <w:fldChar w:fldCharType="end"/>
          </w:r>
          <w:r>
            <w:rPr>
              <w:sz w:val="28"/>
              <w:szCs w:val="28"/>
            </w:rPr>
            <w:fldChar w:fldCharType="end"/>
          </w:r>
        </w:p>
        <w:p w14:paraId="1640372D">
          <w:pPr>
            <w:pStyle w:val="10"/>
            <w:tabs>
              <w:tab w:val="right" w:leader="dot" w:pos="8732"/>
            </w:tabs>
            <w:rPr>
              <w:sz w:val="28"/>
              <w:szCs w:val="28"/>
            </w:rPr>
          </w:pPr>
          <w:r>
            <w:rPr>
              <w:sz w:val="28"/>
              <w:szCs w:val="28"/>
            </w:rPr>
            <w:fldChar w:fldCharType="begin"/>
          </w:r>
          <w:r>
            <w:rPr>
              <w:sz w:val="28"/>
              <w:szCs w:val="28"/>
            </w:rPr>
            <w:instrText xml:space="preserve"> HYPERLINK \l _Toc30474 </w:instrText>
          </w:r>
          <w:r>
            <w:rPr>
              <w:sz w:val="28"/>
              <w:szCs w:val="28"/>
            </w:rPr>
            <w:fldChar w:fldCharType="separate"/>
          </w:r>
          <w:r>
            <w:rPr>
              <w:rFonts w:hint="default" w:ascii="Times New Roman" w:hAnsi="Times New Roman" w:eastAsia="楷体_GB2312" w:cs="Times New Roman"/>
              <w:bCs w:val="0"/>
              <w:sz w:val="28"/>
              <w:szCs w:val="28"/>
            </w:rPr>
            <w:t>（一）</w:t>
          </w:r>
          <w:r>
            <w:rPr>
              <w:rFonts w:hint="default" w:ascii="Times New Roman" w:hAnsi="Times New Roman" w:eastAsia="楷体_GB2312" w:cs="Times New Roman"/>
              <w:bCs w:val="0"/>
              <w:sz w:val="28"/>
              <w:szCs w:val="28"/>
              <w:lang w:val="en-US" w:eastAsia="zh-CN"/>
            </w:rPr>
            <w:t>环境空气质量</w:t>
          </w:r>
          <w:r>
            <w:rPr>
              <w:rFonts w:hint="default" w:ascii="Times New Roman" w:hAnsi="Times New Roman" w:eastAsia="楷体_GB2312" w:cs="Times New Roman"/>
              <w:bCs w:val="0"/>
              <w:sz w:val="28"/>
              <w:szCs w:val="28"/>
            </w:rPr>
            <w:t>现状</w:t>
          </w:r>
          <w:r>
            <w:rPr>
              <w:sz w:val="28"/>
              <w:szCs w:val="28"/>
            </w:rPr>
            <w:tab/>
          </w:r>
          <w:r>
            <w:rPr>
              <w:sz w:val="28"/>
              <w:szCs w:val="28"/>
            </w:rPr>
            <w:fldChar w:fldCharType="begin"/>
          </w:r>
          <w:r>
            <w:rPr>
              <w:sz w:val="28"/>
              <w:szCs w:val="28"/>
            </w:rPr>
            <w:instrText xml:space="preserve"> PAGEREF _Toc30474 \h </w:instrText>
          </w:r>
          <w:r>
            <w:rPr>
              <w:sz w:val="28"/>
              <w:szCs w:val="28"/>
            </w:rPr>
            <w:fldChar w:fldCharType="separate"/>
          </w:r>
          <w:r>
            <w:rPr>
              <w:sz w:val="28"/>
              <w:szCs w:val="28"/>
            </w:rPr>
            <w:t>1</w:t>
          </w:r>
          <w:r>
            <w:rPr>
              <w:sz w:val="28"/>
              <w:szCs w:val="28"/>
            </w:rPr>
            <w:fldChar w:fldCharType="end"/>
          </w:r>
          <w:r>
            <w:rPr>
              <w:sz w:val="28"/>
              <w:szCs w:val="28"/>
            </w:rPr>
            <w:fldChar w:fldCharType="end"/>
          </w:r>
        </w:p>
        <w:p w14:paraId="7246FD55">
          <w:pPr>
            <w:pStyle w:val="10"/>
            <w:tabs>
              <w:tab w:val="right" w:leader="dot" w:pos="8732"/>
            </w:tabs>
            <w:rPr>
              <w:sz w:val="28"/>
              <w:szCs w:val="28"/>
            </w:rPr>
          </w:pPr>
          <w:r>
            <w:rPr>
              <w:sz w:val="28"/>
              <w:szCs w:val="28"/>
            </w:rPr>
            <w:fldChar w:fldCharType="begin"/>
          </w:r>
          <w:r>
            <w:rPr>
              <w:sz w:val="28"/>
              <w:szCs w:val="28"/>
            </w:rPr>
            <w:instrText xml:space="preserve"> HYPERLINK \l _Toc17325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二</w:t>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rPr>
            <w:t>污染源排放情况</w:t>
          </w:r>
          <w:r>
            <w:rPr>
              <w:sz w:val="28"/>
              <w:szCs w:val="28"/>
            </w:rPr>
            <w:tab/>
          </w:r>
          <w:r>
            <w:rPr>
              <w:sz w:val="28"/>
              <w:szCs w:val="28"/>
            </w:rPr>
            <w:fldChar w:fldCharType="begin"/>
          </w:r>
          <w:r>
            <w:rPr>
              <w:sz w:val="28"/>
              <w:szCs w:val="28"/>
            </w:rPr>
            <w:instrText xml:space="preserve"> PAGEREF _Toc17325 \h </w:instrText>
          </w:r>
          <w:r>
            <w:rPr>
              <w:sz w:val="28"/>
              <w:szCs w:val="28"/>
            </w:rPr>
            <w:fldChar w:fldCharType="separate"/>
          </w:r>
          <w:r>
            <w:rPr>
              <w:sz w:val="28"/>
              <w:szCs w:val="28"/>
            </w:rPr>
            <w:t>2</w:t>
          </w:r>
          <w:r>
            <w:rPr>
              <w:sz w:val="28"/>
              <w:szCs w:val="28"/>
            </w:rPr>
            <w:fldChar w:fldCharType="end"/>
          </w:r>
          <w:r>
            <w:rPr>
              <w:sz w:val="28"/>
              <w:szCs w:val="28"/>
            </w:rPr>
            <w:fldChar w:fldCharType="end"/>
          </w:r>
        </w:p>
        <w:p w14:paraId="19FF910B">
          <w:pPr>
            <w:pStyle w:val="10"/>
            <w:tabs>
              <w:tab w:val="right" w:leader="dot" w:pos="8732"/>
            </w:tabs>
            <w:rPr>
              <w:sz w:val="28"/>
              <w:szCs w:val="28"/>
            </w:rPr>
          </w:pPr>
          <w:r>
            <w:rPr>
              <w:sz w:val="28"/>
              <w:szCs w:val="28"/>
            </w:rPr>
            <w:fldChar w:fldCharType="begin"/>
          </w:r>
          <w:r>
            <w:rPr>
              <w:sz w:val="28"/>
              <w:szCs w:val="28"/>
            </w:rPr>
            <w:instrText xml:space="preserve"> HYPERLINK \l _Toc25071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三</w:t>
          </w:r>
          <w:r>
            <w:rPr>
              <w:rFonts w:hint="default" w:ascii="Times New Roman" w:hAnsi="Times New Roman" w:eastAsia="楷体_GB2312" w:cs="Times New Roman"/>
              <w:bCs w:val="0"/>
              <w:sz w:val="28"/>
              <w:szCs w:val="28"/>
              <w:lang w:eastAsia="zh-CN"/>
            </w:rPr>
            <w:t>）达标压力分析</w:t>
          </w:r>
          <w:r>
            <w:rPr>
              <w:sz w:val="28"/>
              <w:szCs w:val="28"/>
            </w:rPr>
            <w:tab/>
          </w:r>
          <w:r>
            <w:rPr>
              <w:sz w:val="28"/>
              <w:szCs w:val="28"/>
            </w:rPr>
            <w:fldChar w:fldCharType="begin"/>
          </w:r>
          <w:r>
            <w:rPr>
              <w:sz w:val="28"/>
              <w:szCs w:val="28"/>
            </w:rPr>
            <w:instrText xml:space="preserve"> PAGEREF _Toc25071 \h </w:instrText>
          </w:r>
          <w:r>
            <w:rPr>
              <w:sz w:val="28"/>
              <w:szCs w:val="28"/>
            </w:rPr>
            <w:fldChar w:fldCharType="separate"/>
          </w:r>
          <w:r>
            <w:rPr>
              <w:sz w:val="28"/>
              <w:szCs w:val="28"/>
            </w:rPr>
            <w:t>2</w:t>
          </w:r>
          <w:r>
            <w:rPr>
              <w:sz w:val="28"/>
              <w:szCs w:val="28"/>
            </w:rPr>
            <w:fldChar w:fldCharType="end"/>
          </w:r>
          <w:r>
            <w:rPr>
              <w:sz w:val="28"/>
              <w:szCs w:val="28"/>
            </w:rPr>
            <w:fldChar w:fldCharType="end"/>
          </w:r>
        </w:p>
        <w:p w14:paraId="7EF2613E">
          <w:pPr>
            <w:pStyle w:val="9"/>
            <w:tabs>
              <w:tab w:val="right" w:leader="dot" w:pos="8732"/>
            </w:tabs>
            <w:rPr>
              <w:sz w:val="28"/>
              <w:szCs w:val="28"/>
            </w:rPr>
          </w:pPr>
          <w:r>
            <w:rPr>
              <w:sz w:val="28"/>
              <w:szCs w:val="28"/>
            </w:rPr>
            <w:fldChar w:fldCharType="begin"/>
          </w:r>
          <w:r>
            <w:rPr>
              <w:sz w:val="28"/>
              <w:szCs w:val="28"/>
            </w:rPr>
            <w:instrText xml:space="preserve"> HYPERLINK \l _Toc913 </w:instrText>
          </w:r>
          <w:r>
            <w:rPr>
              <w:sz w:val="28"/>
              <w:szCs w:val="28"/>
            </w:rPr>
            <w:fldChar w:fldCharType="separate"/>
          </w:r>
          <w:r>
            <w:rPr>
              <w:rFonts w:hint="default" w:ascii="Times New Roman" w:hAnsi="Times New Roman" w:cs="Times New Roman"/>
              <w:bCs w:val="0"/>
              <w:sz w:val="28"/>
              <w:szCs w:val="28"/>
            </w:rPr>
            <w:t>二、</w:t>
          </w:r>
          <w:r>
            <w:rPr>
              <w:rFonts w:hint="default" w:ascii="Times New Roman" w:hAnsi="Times New Roman" w:cs="Times New Roman"/>
              <w:bCs w:val="0"/>
              <w:sz w:val="28"/>
              <w:szCs w:val="28"/>
              <w:lang w:val="en-US" w:eastAsia="zh-CN"/>
            </w:rPr>
            <w:t>规划总则和目标</w:t>
          </w:r>
          <w:r>
            <w:rPr>
              <w:sz w:val="28"/>
              <w:szCs w:val="28"/>
            </w:rPr>
            <w:tab/>
          </w:r>
          <w:r>
            <w:rPr>
              <w:sz w:val="28"/>
              <w:szCs w:val="28"/>
            </w:rPr>
            <w:fldChar w:fldCharType="begin"/>
          </w:r>
          <w:r>
            <w:rPr>
              <w:sz w:val="28"/>
              <w:szCs w:val="28"/>
            </w:rPr>
            <w:instrText xml:space="preserve"> PAGEREF _Toc913 \h </w:instrText>
          </w:r>
          <w:r>
            <w:rPr>
              <w:sz w:val="28"/>
              <w:szCs w:val="28"/>
            </w:rPr>
            <w:fldChar w:fldCharType="separate"/>
          </w:r>
          <w:r>
            <w:rPr>
              <w:sz w:val="28"/>
              <w:szCs w:val="28"/>
            </w:rPr>
            <w:t>4</w:t>
          </w:r>
          <w:r>
            <w:rPr>
              <w:sz w:val="28"/>
              <w:szCs w:val="28"/>
            </w:rPr>
            <w:fldChar w:fldCharType="end"/>
          </w:r>
          <w:r>
            <w:rPr>
              <w:sz w:val="28"/>
              <w:szCs w:val="28"/>
            </w:rPr>
            <w:fldChar w:fldCharType="end"/>
          </w:r>
        </w:p>
        <w:p w14:paraId="7B1C2981">
          <w:pPr>
            <w:pStyle w:val="10"/>
            <w:tabs>
              <w:tab w:val="right" w:leader="dot" w:pos="8732"/>
            </w:tabs>
            <w:rPr>
              <w:sz w:val="28"/>
              <w:szCs w:val="28"/>
            </w:rPr>
          </w:pPr>
          <w:r>
            <w:rPr>
              <w:sz w:val="28"/>
              <w:szCs w:val="28"/>
            </w:rPr>
            <w:fldChar w:fldCharType="begin"/>
          </w:r>
          <w:r>
            <w:rPr>
              <w:sz w:val="28"/>
              <w:szCs w:val="28"/>
            </w:rPr>
            <w:instrText xml:space="preserve"> HYPERLINK \l _Toc20134 </w:instrText>
          </w:r>
          <w:r>
            <w:rPr>
              <w:sz w:val="28"/>
              <w:szCs w:val="28"/>
            </w:rPr>
            <w:fldChar w:fldCharType="separate"/>
          </w:r>
          <w:r>
            <w:rPr>
              <w:rFonts w:hint="default" w:ascii="Times New Roman" w:hAnsi="Times New Roman" w:eastAsia="楷体_GB2312" w:cs="Times New Roman"/>
              <w:bCs w:val="0"/>
              <w:sz w:val="28"/>
              <w:szCs w:val="28"/>
            </w:rPr>
            <w:t>（一）指导思想</w:t>
          </w:r>
          <w:r>
            <w:rPr>
              <w:sz w:val="28"/>
              <w:szCs w:val="28"/>
            </w:rPr>
            <w:tab/>
          </w:r>
          <w:r>
            <w:rPr>
              <w:sz w:val="28"/>
              <w:szCs w:val="28"/>
            </w:rPr>
            <w:fldChar w:fldCharType="begin"/>
          </w:r>
          <w:r>
            <w:rPr>
              <w:sz w:val="28"/>
              <w:szCs w:val="28"/>
            </w:rPr>
            <w:instrText xml:space="preserve"> PAGEREF _Toc20134 \h </w:instrText>
          </w:r>
          <w:r>
            <w:rPr>
              <w:sz w:val="28"/>
              <w:szCs w:val="28"/>
            </w:rPr>
            <w:fldChar w:fldCharType="separate"/>
          </w:r>
          <w:r>
            <w:rPr>
              <w:sz w:val="28"/>
              <w:szCs w:val="28"/>
            </w:rPr>
            <w:t>4</w:t>
          </w:r>
          <w:r>
            <w:rPr>
              <w:sz w:val="28"/>
              <w:szCs w:val="28"/>
            </w:rPr>
            <w:fldChar w:fldCharType="end"/>
          </w:r>
          <w:r>
            <w:rPr>
              <w:sz w:val="28"/>
              <w:szCs w:val="28"/>
            </w:rPr>
            <w:fldChar w:fldCharType="end"/>
          </w:r>
        </w:p>
        <w:p w14:paraId="13C59CDF">
          <w:pPr>
            <w:pStyle w:val="10"/>
            <w:tabs>
              <w:tab w:val="right" w:leader="dot" w:pos="8732"/>
            </w:tabs>
            <w:rPr>
              <w:sz w:val="28"/>
              <w:szCs w:val="28"/>
            </w:rPr>
          </w:pPr>
          <w:r>
            <w:rPr>
              <w:sz w:val="28"/>
              <w:szCs w:val="28"/>
            </w:rPr>
            <w:fldChar w:fldCharType="begin"/>
          </w:r>
          <w:r>
            <w:rPr>
              <w:sz w:val="28"/>
              <w:szCs w:val="28"/>
            </w:rPr>
            <w:instrText xml:space="preserve"> HYPERLINK \l _Toc11756 </w:instrText>
          </w:r>
          <w:r>
            <w:rPr>
              <w:sz w:val="28"/>
              <w:szCs w:val="28"/>
            </w:rPr>
            <w:fldChar w:fldCharType="separate"/>
          </w:r>
          <w:r>
            <w:rPr>
              <w:rFonts w:hint="default" w:ascii="Times New Roman" w:hAnsi="Times New Roman" w:eastAsia="楷体_GB2312" w:cs="Times New Roman"/>
              <w:bCs w:val="0"/>
              <w:sz w:val="28"/>
              <w:szCs w:val="28"/>
            </w:rPr>
            <w:t>（二）规划原则</w:t>
          </w:r>
          <w:r>
            <w:rPr>
              <w:sz w:val="28"/>
              <w:szCs w:val="28"/>
            </w:rPr>
            <w:tab/>
          </w:r>
          <w:r>
            <w:rPr>
              <w:sz w:val="28"/>
              <w:szCs w:val="28"/>
            </w:rPr>
            <w:fldChar w:fldCharType="begin"/>
          </w:r>
          <w:r>
            <w:rPr>
              <w:sz w:val="28"/>
              <w:szCs w:val="28"/>
            </w:rPr>
            <w:instrText xml:space="preserve"> PAGEREF _Toc11756 \h </w:instrText>
          </w:r>
          <w:r>
            <w:rPr>
              <w:sz w:val="28"/>
              <w:szCs w:val="28"/>
            </w:rPr>
            <w:fldChar w:fldCharType="separate"/>
          </w:r>
          <w:r>
            <w:rPr>
              <w:sz w:val="28"/>
              <w:szCs w:val="28"/>
            </w:rPr>
            <w:t>5</w:t>
          </w:r>
          <w:r>
            <w:rPr>
              <w:sz w:val="28"/>
              <w:szCs w:val="28"/>
            </w:rPr>
            <w:fldChar w:fldCharType="end"/>
          </w:r>
          <w:r>
            <w:rPr>
              <w:sz w:val="28"/>
              <w:szCs w:val="28"/>
            </w:rPr>
            <w:fldChar w:fldCharType="end"/>
          </w:r>
        </w:p>
        <w:p w14:paraId="7780D419">
          <w:pPr>
            <w:pStyle w:val="10"/>
            <w:tabs>
              <w:tab w:val="right" w:leader="dot" w:pos="8732"/>
            </w:tabs>
            <w:rPr>
              <w:sz w:val="28"/>
              <w:szCs w:val="28"/>
            </w:rPr>
          </w:pPr>
          <w:r>
            <w:rPr>
              <w:sz w:val="28"/>
              <w:szCs w:val="28"/>
            </w:rPr>
            <w:fldChar w:fldCharType="begin"/>
          </w:r>
          <w:r>
            <w:rPr>
              <w:sz w:val="28"/>
              <w:szCs w:val="28"/>
            </w:rPr>
            <w:instrText xml:space="preserve"> HYPERLINK \l _Toc7486 </w:instrText>
          </w:r>
          <w:r>
            <w:rPr>
              <w:sz w:val="28"/>
              <w:szCs w:val="28"/>
            </w:rPr>
            <w:fldChar w:fldCharType="separate"/>
          </w:r>
          <w:r>
            <w:rPr>
              <w:rFonts w:hint="default" w:ascii="Times New Roman" w:hAnsi="Times New Roman" w:eastAsia="楷体_GB2312" w:cs="Times New Roman"/>
              <w:bCs w:val="0"/>
              <w:sz w:val="28"/>
              <w:szCs w:val="28"/>
            </w:rPr>
            <w:t>（三）规划范围</w:t>
          </w:r>
          <w:r>
            <w:rPr>
              <w:sz w:val="28"/>
              <w:szCs w:val="28"/>
            </w:rPr>
            <w:tab/>
          </w:r>
          <w:r>
            <w:rPr>
              <w:sz w:val="28"/>
              <w:szCs w:val="28"/>
            </w:rPr>
            <w:fldChar w:fldCharType="begin"/>
          </w:r>
          <w:r>
            <w:rPr>
              <w:sz w:val="28"/>
              <w:szCs w:val="28"/>
            </w:rPr>
            <w:instrText xml:space="preserve"> PAGEREF _Toc7486 \h </w:instrText>
          </w:r>
          <w:r>
            <w:rPr>
              <w:sz w:val="28"/>
              <w:szCs w:val="28"/>
            </w:rPr>
            <w:fldChar w:fldCharType="separate"/>
          </w:r>
          <w:r>
            <w:rPr>
              <w:sz w:val="28"/>
              <w:szCs w:val="28"/>
            </w:rPr>
            <w:t>6</w:t>
          </w:r>
          <w:r>
            <w:rPr>
              <w:sz w:val="28"/>
              <w:szCs w:val="28"/>
            </w:rPr>
            <w:fldChar w:fldCharType="end"/>
          </w:r>
          <w:r>
            <w:rPr>
              <w:sz w:val="28"/>
              <w:szCs w:val="28"/>
            </w:rPr>
            <w:fldChar w:fldCharType="end"/>
          </w:r>
        </w:p>
        <w:p w14:paraId="4499F336">
          <w:pPr>
            <w:pStyle w:val="10"/>
            <w:tabs>
              <w:tab w:val="right" w:leader="dot" w:pos="8732"/>
            </w:tabs>
            <w:rPr>
              <w:sz w:val="28"/>
              <w:szCs w:val="28"/>
            </w:rPr>
          </w:pPr>
          <w:r>
            <w:rPr>
              <w:sz w:val="28"/>
              <w:szCs w:val="28"/>
            </w:rPr>
            <w:fldChar w:fldCharType="begin"/>
          </w:r>
          <w:r>
            <w:rPr>
              <w:sz w:val="28"/>
              <w:szCs w:val="28"/>
            </w:rPr>
            <w:instrText xml:space="preserve"> HYPERLINK \l _Toc31691 </w:instrText>
          </w:r>
          <w:r>
            <w:rPr>
              <w:sz w:val="28"/>
              <w:szCs w:val="28"/>
            </w:rPr>
            <w:fldChar w:fldCharType="separate"/>
          </w:r>
          <w:r>
            <w:rPr>
              <w:rFonts w:hint="default" w:ascii="Times New Roman" w:hAnsi="Times New Roman" w:eastAsia="楷体_GB2312" w:cs="Times New Roman"/>
              <w:bCs w:val="0"/>
              <w:kern w:val="2"/>
              <w:sz w:val="28"/>
              <w:szCs w:val="28"/>
              <w:lang w:eastAsia="zh-CN"/>
            </w:rPr>
            <w:t>（</w:t>
          </w:r>
          <w:r>
            <w:rPr>
              <w:rFonts w:hint="default" w:ascii="Times New Roman" w:hAnsi="Times New Roman" w:eastAsia="楷体_GB2312" w:cs="Times New Roman"/>
              <w:bCs w:val="0"/>
              <w:kern w:val="2"/>
              <w:sz w:val="28"/>
              <w:szCs w:val="28"/>
              <w:lang w:val="en-US" w:eastAsia="zh-CN"/>
            </w:rPr>
            <w:t>四</w:t>
          </w:r>
          <w:r>
            <w:rPr>
              <w:rFonts w:hint="default" w:ascii="Times New Roman" w:hAnsi="Times New Roman" w:eastAsia="楷体_GB2312" w:cs="Times New Roman"/>
              <w:bCs w:val="0"/>
              <w:kern w:val="2"/>
              <w:sz w:val="28"/>
              <w:szCs w:val="28"/>
              <w:lang w:eastAsia="zh-CN"/>
            </w:rPr>
            <w:t>）</w:t>
          </w:r>
          <w:r>
            <w:rPr>
              <w:rFonts w:hint="default" w:ascii="Times New Roman" w:hAnsi="Times New Roman" w:eastAsia="楷体_GB2312" w:cs="Times New Roman"/>
              <w:bCs w:val="0"/>
              <w:kern w:val="2"/>
              <w:sz w:val="28"/>
              <w:szCs w:val="28"/>
              <w:lang w:val="en-US" w:eastAsia="zh-CN"/>
            </w:rPr>
            <w:t>规划期限</w:t>
          </w:r>
          <w:r>
            <w:rPr>
              <w:sz w:val="28"/>
              <w:szCs w:val="28"/>
            </w:rPr>
            <w:tab/>
          </w:r>
          <w:r>
            <w:rPr>
              <w:sz w:val="28"/>
              <w:szCs w:val="28"/>
            </w:rPr>
            <w:fldChar w:fldCharType="begin"/>
          </w:r>
          <w:r>
            <w:rPr>
              <w:sz w:val="28"/>
              <w:szCs w:val="28"/>
            </w:rPr>
            <w:instrText xml:space="preserve"> PAGEREF _Toc31691 \h </w:instrText>
          </w:r>
          <w:r>
            <w:rPr>
              <w:sz w:val="28"/>
              <w:szCs w:val="28"/>
            </w:rPr>
            <w:fldChar w:fldCharType="separate"/>
          </w:r>
          <w:r>
            <w:rPr>
              <w:sz w:val="28"/>
              <w:szCs w:val="28"/>
            </w:rPr>
            <w:t>6</w:t>
          </w:r>
          <w:r>
            <w:rPr>
              <w:sz w:val="28"/>
              <w:szCs w:val="28"/>
            </w:rPr>
            <w:fldChar w:fldCharType="end"/>
          </w:r>
          <w:r>
            <w:rPr>
              <w:sz w:val="28"/>
              <w:szCs w:val="28"/>
            </w:rPr>
            <w:fldChar w:fldCharType="end"/>
          </w:r>
        </w:p>
        <w:p w14:paraId="33A039A6">
          <w:pPr>
            <w:pStyle w:val="10"/>
            <w:tabs>
              <w:tab w:val="right" w:leader="dot" w:pos="8732"/>
            </w:tabs>
            <w:rPr>
              <w:sz w:val="28"/>
              <w:szCs w:val="28"/>
            </w:rPr>
          </w:pPr>
          <w:r>
            <w:rPr>
              <w:sz w:val="28"/>
              <w:szCs w:val="28"/>
            </w:rPr>
            <w:fldChar w:fldCharType="begin"/>
          </w:r>
          <w:r>
            <w:rPr>
              <w:sz w:val="28"/>
              <w:szCs w:val="28"/>
            </w:rPr>
            <w:instrText xml:space="preserve"> HYPERLINK \l _Toc7880 </w:instrText>
          </w:r>
          <w:r>
            <w:rPr>
              <w:sz w:val="28"/>
              <w:szCs w:val="28"/>
            </w:rPr>
            <w:fldChar w:fldCharType="separate"/>
          </w:r>
          <w:r>
            <w:rPr>
              <w:rFonts w:hint="default" w:ascii="Times New Roman" w:hAnsi="Times New Roman" w:eastAsia="楷体_GB2312" w:cs="Times New Roman"/>
              <w:bCs w:val="0"/>
              <w:sz w:val="28"/>
              <w:szCs w:val="28"/>
            </w:rPr>
            <w:t>（</w:t>
          </w:r>
          <w:r>
            <w:rPr>
              <w:rFonts w:hint="default" w:ascii="Times New Roman" w:hAnsi="Times New Roman" w:eastAsia="楷体_GB2312" w:cs="Times New Roman"/>
              <w:bCs w:val="0"/>
              <w:sz w:val="28"/>
              <w:szCs w:val="28"/>
              <w:lang w:val="en-US" w:eastAsia="zh-CN"/>
            </w:rPr>
            <w:t>五</w:t>
          </w:r>
          <w:r>
            <w:rPr>
              <w:rFonts w:hint="default" w:ascii="Times New Roman" w:hAnsi="Times New Roman" w:eastAsia="楷体_GB2312" w:cs="Times New Roman"/>
              <w:bCs w:val="0"/>
              <w:sz w:val="28"/>
              <w:szCs w:val="28"/>
            </w:rPr>
            <w:t>）</w:t>
          </w:r>
          <w:r>
            <w:rPr>
              <w:rFonts w:hint="default" w:ascii="Times New Roman" w:hAnsi="Times New Roman" w:eastAsia="楷体_GB2312" w:cs="Times New Roman"/>
              <w:bCs w:val="0"/>
              <w:sz w:val="28"/>
              <w:szCs w:val="28"/>
              <w:lang w:val="en-US" w:eastAsia="zh-CN"/>
            </w:rPr>
            <w:t>规划</w:t>
          </w:r>
          <w:r>
            <w:rPr>
              <w:rFonts w:hint="default" w:ascii="Times New Roman" w:hAnsi="Times New Roman" w:eastAsia="楷体_GB2312" w:cs="Times New Roman"/>
              <w:bCs w:val="0"/>
              <w:sz w:val="28"/>
              <w:szCs w:val="28"/>
            </w:rPr>
            <w:t>目标</w:t>
          </w:r>
          <w:r>
            <w:rPr>
              <w:sz w:val="28"/>
              <w:szCs w:val="28"/>
            </w:rPr>
            <w:tab/>
          </w:r>
          <w:r>
            <w:rPr>
              <w:sz w:val="28"/>
              <w:szCs w:val="28"/>
            </w:rPr>
            <w:fldChar w:fldCharType="begin"/>
          </w:r>
          <w:r>
            <w:rPr>
              <w:sz w:val="28"/>
              <w:szCs w:val="28"/>
            </w:rPr>
            <w:instrText xml:space="preserve"> PAGEREF _Toc7880 \h </w:instrText>
          </w:r>
          <w:r>
            <w:rPr>
              <w:sz w:val="28"/>
              <w:szCs w:val="28"/>
            </w:rPr>
            <w:fldChar w:fldCharType="separate"/>
          </w:r>
          <w:r>
            <w:rPr>
              <w:sz w:val="28"/>
              <w:szCs w:val="28"/>
            </w:rPr>
            <w:t>6</w:t>
          </w:r>
          <w:r>
            <w:rPr>
              <w:sz w:val="28"/>
              <w:szCs w:val="28"/>
            </w:rPr>
            <w:fldChar w:fldCharType="end"/>
          </w:r>
          <w:r>
            <w:rPr>
              <w:sz w:val="28"/>
              <w:szCs w:val="28"/>
            </w:rPr>
            <w:fldChar w:fldCharType="end"/>
          </w:r>
        </w:p>
        <w:p w14:paraId="36416853">
          <w:pPr>
            <w:pStyle w:val="9"/>
            <w:tabs>
              <w:tab w:val="right" w:leader="dot" w:pos="8732"/>
            </w:tabs>
            <w:rPr>
              <w:sz w:val="28"/>
              <w:szCs w:val="28"/>
            </w:rPr>
          </w:pPr>
          <w:r>
            <w:rPr>
              <w:sz w:val="28"/>
              <w:szCs w:val="28"/>
            </w:rPr>
            <w:fldChar w:fldCharType="begin"/>
          </w:r>
          <w:r>
            <w:rPr>
              <w:sz w:val="28"/>
              <w:szCs w:val="28"/>
            </w:rPr>
            <w:instrText xml:space="preserve"> HYPERLINK \l _Toc27984 </w:instrText>
          </w:r>
          <w:r>
            <w:rPr>
              <w:sz w:val="28"/>
              <w:szCs w:val="28"/>
            </w:rPr>
            <w:fldChar w:fldCharType="separate"/>
          </w:r>
          <w:r>
            <w:rPr>
              <w:rFonts w:hint="default" w:ascii="Times New Roman" w:hAnsi="Times New Roman" w:cs="Times New Roman"/>
              <w:bCs w:val="0"/>
              <w:sz w:val="28"/>
              <w:szCs w:val="28"/>
            </w:rPr>
            <w:t>三、重点任务</w:t>
          </w:r>
          <w:r>
            <w:rPr>
              <w:sz w:val="28"/>
              <w:szCs w:val="28"/>
            </w:rPr>
            <w:tab/>
          </w:r>
          <w:r>
            <w:rPr>
              <w:sz w:val="28"/>
              <w:szCs w:val="28"/>
            </w:rPr>
            <w:fldChar w:fldCharType="begin"/>
          </w:r>
          <w:r>
            <w:rPr>
              <w:sz w:val="28"/>
              <w:szCs w:val="28"/>
            </w:rPr>
            <w:instrText xml:space="preserve"> PAGEREF _Toc27984 \h </w:instrText>
          </w:r>
          <w:r>
            <w:rPr>
              <w:sz w:val="28"/>
              <w:szCs w:val="28"/>
            </w:rPr>
            <w:fldChar w:fldCharType="separate"/>
          </w:r>
          <w:r>
            <w:rPr>
              <w:sz w:val="28"/>
              <w:szCs w:val="28"/>
            </w:rPr>
            <w:t>7</w:t>
          </w:r>
          <w:r>
            <w:rPr>
              <w:sz w:val="28"/>
              <w:szCs w:val="28"/>
            </w:rPr>
            <w:fldChar w:fldCharType="end"/>
          </w:r>
          <w:r>
            <w:rPr>
              <w:sz w:val="28"/>
              <w:szCs w:val="28"/>
            </w:rPr>
            <w:fldChar w:fldCharType="end"/>
          </w:r>
        </w:p>
        <w:p w14:paraId="1BC1A739">
          <w:pPr>
            <w:pStyle w:val="10"/>
            <w:tabs>
              <w:tab w:val="right" w:leader="dot" w:pos="8732"/>
            </w:tabs>
            <w:rPr>
              <w:sz w:val="28"/>
              <w:szCs w:val="28"/>
            </w:rPr>
          </w:pPr>
          <w:r>
            <w:rPr>
              <w:sz w:val="28"/>
              <w:szCs w:val="28"/>
            </w:rPr>
            <w:fldChar w:fldCharType="begin"/>
          </w:r>
          <w:r>
            <w:rPr>
              <w:sz w:val="28"/>
              <w:szCs w:val="28"/>
            </w:rPr>
            <w:instrText xml:space="preserve"> HYPERLINK \l _Toc16623 </w:instrText>
          </w:r>
          <w:r>
            <w:rPr>
              <w:sz w:val="28"/>
              <w:szCs w:val="28"/>
            </w:rPr>
            <w:fldChar w:fldCharType="separate"/>
          </w:r>
          <w:r>
            <w:rPr>
              <w:rFonts w:hint="default" w:ascii="Times New Roman" w:hAnsi="Times New Roman" w:eastAsia="楷体_GB2312" w:cs="Times New Roman"/>
              <w:bCs w:val="0"/>
              <w:sz w:val="28"/>
              <w:szCs w:val="28"/>
            </w:rPr>
            <w:t>（一）着力调整产业结构</w:t>
          </w:r>
          <w:r>
            <w:rPr>
              <w:sz w:val="28"/>
              <w:szCs w:val="28"/>
            </w:rPr>
            <w:tab/>
          </w:r>
          <w:r>
            <w:rPr>
              <w:sz w:val="28"/>
              <w:szCs w:val="28"/>
            </w:rPr>
            <w:fldChar w:fldCharType="begin"/>
          </w:r>
          <w:r>
            <w:rPr>
              <w:sz w:val="28"/>
              <w:szCs w:val="28"/>
            </w:rPr>
            <w:instrText xml:space="preserve"> PAGEREF _Toc16623 \h </w:instrText>
          </w:r>
          <w:r>
            <w:rPr>
              <w:sz w:val="28"/>
              <w:szCs w:val="28"/>
            </w:rPr>
            <w:fldChar w:fldCharType="separate"/>
          </w:r>
          <w:r>
            <w:rPr>
              <w:sz w:val="28"/>
              <w:szCs w:val="28"/>
            </w:rPr>
            <w:t>7</w:t>
          </w:r>
          <w:r>
            <w:rPr>
              <w:sz w:val="28"/>
              <w:szCs w:val="28"/>
            </w:rPr>
            <w:fldChar w:fldCharType="end"/>
          </w:r>
          <w:r>
            <w:rPr>
              <w:sz w:val="28"/>
              <w:szCs w:val="28"/>
            </w:rPr>
            <w:fldChar w:fldCharType="end"/>
          </w:r>
        </w:p>
        <w:p w14:paraId="2295DD7B">
          <w:pPr>
            <w:pStyle w:val="10"/>
            <w:tabs>
              <w:tab w:val="right" w:leader="dot" w:pos="8732"/>
            </w:tabs>
            <w:rPr>
              <w:sz w:val="28"/>
              <w:szCs w:val="28"/>
            </w:rPr>
          </w:pPr>
          <w:r>
            <w:rPr>
              <w:sz w:val="28"/>
              <w:szCs w:val="28"/>
            </w:rPr>
            <w:fldChar w:fldCharType="begin"/>
          </w:r>
          <w:r>
            <w:rPr>
              <w:sz w:val="28"/>
              <w:szCs w:val="28"/>
            </w:rPr>
            <w:instrText xml:space="preserve"> HYPERLINK \l _Toc5981 </w:instrText>
          </w:r>
          <w:r>
            <w:rPr>
              <w:sz w:val="28"/>
              <w:szCs w:val="28"/>
            </w:rPr>
            <w:fldChar w:fldCharType="separate"/>
          </w:r>
          <w:r>
            <w:rPr>
              <w:rFonts w:hint="default" w:ascii="Times New Roman" w:hAnsi="Times New Roman" w:eastAsia="楷体_GB2312" w:cs="Times New Roman"/>
              <w:bCs w:val="0"/>
              <w:sz w:val="28"/>
              <w:szCs w:val="28"/>
            </w:rPr>
            <w:t>（二）着力调整能源结构</w:t>
          </w:r>
          <w:r>
            <w:rPr>
              <w:sz w:val="28"/>
              <w:szCs w:val="28"/>
            </w:rPr>
            <w:tab/>
          </w:r>
          <w:r>
            <w:rPr>
              <w:sz w:val="28"/>
              <w:szCs w:val="28"/>
            </w:rPr>
            <w:fldChar w:fldCharType="begin"/>
          </w:r>
          <w:r>
            <w:rPr>
              <w:sz w:val="28"/>
              <w:szCs w:val="28"/>
            </w:rPr>
            <w:instrText xml:space="preserve"> PAGEREF _Toc5981 \h </w:instrText>
          </w:r>
          <w:r>
            <w:rPr>
              <w:sz w:val="28"/>
              <w:szCs w:val="28"/>
            </w:rPr>
            <w:fldChar w:fldCharType="separate"/>
          </w:r>
          <w:r>
            <w:rPr>
              <w:sz w:val="28"/>
              <w:szCs w:val="28"/>
            </w:rPr>
            <w:t>9</w:t>
          </w:r>
          <w:r>
            <w:rPr>
              <w:sz w:val="28"/>
              <w:szCs w:val="28"/>
            </w:rPr>
            <w:fldChar w:fldCharType="end"/>
          </w:r>
          <w:r>
            <w:rPr>
              <w:sz w:val="28"/>
              <w:szCs w:val="28"/>
            </w:rPr>
            <w:fldChar w:fldCharType="end"/>
          </w:r>
        </w:p>
        <w:p w14:paraId="19DBBE86">
          <w:pPr>
            <w:pStyle w:val="10"/>
            <w:tabs>
              <w:tab w:val="right" w:leader="dot" w:pos="8732"/>
            </w:tabs>
            <w:rPr>
              <w:sz w:val="28"/>
              <w:szCs w:val="28"/>
            </w:rPr>
          </w:pPr>
          <w:r>
            <w:rPr>
              <w:sz w:val="28"/>
              <w:szCs w:val="28"/>
            </w:rPr>
            <w:fldChar w:fldCharType="begin"/>
          </w:r>
          <w:r>
            <w:rPr>
              <w:sz w:val="28"/>
              <w:szCs w:val="28"/>
            </w:rPr>
            <w:instrText xml:space="preserve"> HYPERLINK \l _Toc13153 </w:instrText>
          </w:r>
          <w:r>
            <w:rPr>
              <w:sz w:val="28"/>
              <w:szCs w:val="28"/>
            </w:rPr>
            <w:fldChar w:fldCharType="separate"/>
          </w:r>
          <w:r>
            <w:rPr>
              <w:rFonts w:hint="default" w:ascii="Times New Roman" w:hAnsi="Times New Roman" w:eastAsia="楷体_GB2312" w:cs="Times New Roman"/>
              <w:bCs w:val="0"/>
              <w:sz w:val="28"/>
              <w:szCs w:val="28"/>
            </w:rPr>
            <w:t>（三）</w:t>
          </w:r>
          <w:r>
            <w:rPr>
              <w:rFonts w:hint="default" w:ascii="Times New Roman" w:hAnsi="Times New Roman" w:eastAsia="楷体_GB2312" w:cs="Times New Roman"/>
              <w:bCs w:val="0"/>
              <w:sz w:val="28"/>
              <w:szCs w:val="28"/>
              <w:lang w:val="en-US" w:eastAsia="zh-CN"/>
            </w:rPr>
            <w:t>着力调整交通结构</w:t>
          </w:r>
          <w:r>
            <w:rPr>
              <w:sz w:val="28"/>
              <w:szCs w:val="28"/>
            </w:rPr>
            <w:tab/>
          </w:r>
          <w:r>
            <w:rPr>
              <w:sz w:val="28"/>
              <w:szCs w:val="28"/>
            </w:rPr>
            <w:fldChar w:fldCharType="begin"/>
          </w:r>
          <w:r>
            <w:rPr>
              <w:sz w:val="28"/>
              <w:szCs w:val="28"/>
            </w:rPr>
            <w:instrText xml:space="preserve"> PAGEREF _Toc13153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56FD1B7">
          <w:pPr>
            <w:pStyle w:val="10"/>
            <w:tabs>
              <w:tab w:val="right" w:leader="dot" w:pos="8732"/>
            </w:tabs>
            <w:rPr>
              <w:sz w:val="28"/>
              <w:szCs w:val="28"/>
            </w:rPr>
          </w:pPr>
          <w:r>
            <w:rPr>
              <w:sz w:val="28"/>
              <w:szCs w:val="28"/>
            </w:rPr>
            <w:fldChar w:fldCharType="begin"/>
          </w:r>
          <w:r>
            <w:rPr>
              <w:sz w:val="28"/>
              <w:szCs w:val="28"/>
            </w:rPr>
            <w:instrText xml:space="preserve"> HYPERLINK \l _Toc2010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四）深化重点行业污染减排</w:t>
          </w:r>
          <w:r>
            <w:rPr>
              <w:sz w:val="28"/>
              <w:szCs w:val="28"/>
            </w:rPr>
            <w:tab/>
          </w:r>
          <w:r>
            <w:rPr>
              <w:sz w:val="28"/>
              <w:szCs w:val="28"/>
            </w:rPr>
            <w:fldChar w:fldCharType="begin"/>
          </w:r>
          <w:r>
            <w:rPr>
              <w:sz w:val="28"/>
              <w:szCs w:val="28"/>
            </w:rPr>
            <w:instrText xml:space="preserve"> PAGEREF _Toc2010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D15066F">
          <w:pPr>
            <w:pStyle w:val="10"/>
            <w:tabs>
              <w:tab w:val="right" w:leader="dot" w:pos="8732"/>
            </w:tabs>
            <w:rPr>
              <w:sz w:val="28"/>
              <w:szCs w:val="28"/>
            </w:rPr>
          </w:pPr>
          <w:r>
            <w:rPr>
              <w:sz w:val="28"/>
              <w:szCs w:val="28"/>
            </w:rPr>
            <w:fldChar w:fldCharType="begin"/>
          </w:r>
          <w:r>
            <w:rPr>
              <w:sz w:val="28"/>
              <w:szCs w:val="28"/>
            </w:rPr>
            <w:instrText xml:space="preserve"> HYPERLINK \l _Toc15765 </w:instrText>
          </w:r>
          <w:r>
            <w:rPr>
              <w:sz w:val="28"/>
              <w:szCs w:val="28"/>
            </w:rPr>
            <w:fldChar w:fldCharType="separate"/>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五</w:t>
          </w:r>
          <w:r>
            <w:rPr>
              <w:rFonts w:hint="default" w:ascii="Times New Roman" w:hAnsi="Times New Roman" w:eastAsia="楷体_GB2312" w:cs="Times New Roman"/>
              <w:bCs w:val="0"/>
              <w:sz w:val="28"/>
              <w:szCs w:val="28"/>
              <w:lang w:eastAsia="zh-CN"/>
            </w:rPr>
            <w:t>）</w:t>
          </w:r>
          <w:r>
            <w:rPr>
              <w:rFonts w:hint="default" w:ascii="Times New Roman" w:hAnsi="Times New Roman" w:eastAsia="楷体_GB2312" w:cs="Times New Roman"/>
              <w:bCs w:val="0"/>
              <w:sz w:val="28"/>
              <w:szCs w:val="28"/>
              <w:lang w:val="en-US" w:eastAsia="zh-CN"/>
            </w:rPr>
            <w:t>持续整治面源污染</w:t>
          </w:r>
          <w:r>
            <w:rPr>
              <w:sz w:val="28"/>
              <w:szCs w:val="28"/>
            </w:rPr>
            <w:tab/>
          </w:r>
          <w:r>
            <w:rPr>
              <w:sz w:val="28"/>
              <w:szCs w:val="28"/>
            </w:rPr>
            <w:fldChar w:fldCharType="begin"/>
          </w:r>
          <w:r>
            <w:rPr>
              <w:sz w:val="28"/>
              <w:szCs w:val="28"/>
            </w:rPr>
            <w:instrText xml:space="preserve"> PAGEREF _Toc15765 \h </w:instrText>
          </w:r>
          <w:r>
            <w:rPr>
              <w:sz w:val="28"/>
              <w:szCs w:val="28"/>
            </w:rPr>
            <w:fldChar w:fldCharType="separate"/>
          </w:r>
          <w:r>
            <w:rPr>
              <w:sz w:val="28"/>
              <w:szCs w:val="28"/>
            </w:rPr>
            <w:t>14</w:t>
          </w:r>
          <w:r>
            <w:rPr>
              <w:sz w:val="28"/>
              <w:szCs w:val="28"/>
            </w:rPr>
            <w:fldChar w:fldCharType="end"/>
          </w:r>
          <w:r>
            <w:rPr>
              <w:sz w:val="28"/>
              <w:szCs w:val="28"/>
            </w:rPr>
            <w:fldChar w:fldCharType="end"/>
          </w:r>
        </w:p>
        <w:p w14:paraId="2BF7D5B8">
          <w:pPr>
            <w:pStyle w:val="9"/>
            <w:tabs>
              <w:tab w:val="right" w:leader="dot" w:pos="8732"/>
            </w:tabs>
          </w:pPr>
          <w:r>
            <w:rPr>
              <w:sz w:val="28"/>
              <w:szCs w:val="28"/>
            </w:rPr>
            <w:fldChar w:fldCharType="begin"/>
          </w:r>
          <w:r>
            <w:rPr>
              <w:sz w:val="28"/>
              <w:szCs w:val="28"/>
            </w:rPr>
            <w:instrText xml:space="preserve"> HYPERLINK \l _Toc15585 </w:instrText>
          </w:r>
          <w:r>
            <w:rPr>
              <w:sz w:val="28"/>
              <w:szCs w:val="28"/>
            </w:rPr>
            <w:fldChar w:fldCharType="separate"/>
          </w:r>
          <w:r>
            <w:rPr>
              <w:rFonts w:hint="default" w:ascii="Times New Roman" w:hAnsi="Times New Roman" w:cs="Times New Roman"/>
              <w:bCs w:val="0"/>
              <w:sz w:val="28"/>
              <w:szCs w:val="28"/>
            </w:rPr>
            <w:t>四、规划实施保障</w:t>
          </w:r>
          <w:r>
            <w:rPr>
              <w:sz w:val="28"/>
              <w:szCs w:val="28"/>
            </w:rPr>
            <w:tab/>
          </w:r>
          <w:r>
            <w:rPr>
              <w:sz w:val="28"/>
              <w:szCs w:val="28"/>
            </w:rPr>
            <w:fldChar w:fldCharType="begin"/>
          </w:r>
          <w:r>
            <w:rPr>
              <w:sz w:val="28"/>
              <w:szCs w:val="28"/>
            </w:rPr>
            <w:instrText xml:space="preserve"> PAGEREF _Toc15585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109B96C">
          <w:pPr>
            <w:rPr>
              <w:rFonts w:ascii="Calibri" w:hAnsi="Calibri" w:eastAsia="宋体" w:cs="Calibri"/>
              <w:kern w:val="2"/>
              <w:sz w:val="21"/>
              <w:szCs w:val="21"/>
              <w:lang w:val="en-US" w:eastAsia="zh-CN" w:bidi="ar-SA"/>
            </w:rPr>
          </w:pPr>
          <w:r>
            <w:fldChar w:fldCharType="end"/>
          </w:r>
        </w:p>
      </w:sdtContent>
    </w:sdt>
    <w:p w14:paraId="624BC74B">
      <w:pPr>
        <w:rPr>
          <w:rFonts w:ascii="Calibri" w:hAnsi="Calibri" w:eastAsia="宋体" w:cs="Calibri"/>
          <w:kern w:val="2"/>
          <w:sz w:val="21"/>
          <w:szCs w:val="21"/>
          <w:lang w:val="en-US" w:eastAsia="zh-CN" w:bidi="ar-SA"/>
        </w:rPr>
      </w:pPr>
    </w:p>
    <w:p w14:paraId="02F506EC">
      <w:pPr>
        <w:bidi w:val="0"/>
        <w:rPr>
          <w:rFonts w:ascii="Calibri" w:hAnsi="Calibri" w:eastAsia="宋体" w:cs="Calibri"/>
          <w:kern w:val="2"/>
          <w:sz w:val="21"/>
          <w:szCs w:val="21"/>
          <w:lang w:val="en-US" w:eastAsia="zh-CN" w:bidi="ar-SA"/>
        </w:rPr>
      </w:pPr>
    </w:p>
    <w:p w14:paraId="6B6057A9">
      <w:pPr>
        <w:tabs>
          <w:tab w:val="center" w:pos="4366"/>
        </w:tabs>
        <w:bidi w:val="0"/>
        <w:jc w:val="left"/>
        <w:rPr>
          <w:lang w:val="en-US" w:eastAsia="zh-CN"/>
        </w:rPr>
        <w:sectPr>
          <w:pgSz w:w="11906" w:h="16838"/>
          <w:pgMar w:top="1871" w:right="1587" w:bottom="1474" w:left="1587" w:header="851" w:footer="992" w:gutter="0"/>
          <w:cols w:space="0" w:num="1"/>
          <w:rtlGutter w:val="0"/>
          <w:docGrid w:type="lines" w:linePitch="312" w:charSpace="0"/>
        </w:sectPr>
      </w:pPr>
      <w:r>
        <w:rPr>
          <w:rFonts w:hint="eastAsia"/>
          <w:lang w:val="en-US" w:eastAsia="zh-CN"/>
        </w:rPr>
        <w:tab/>
      </w:r>
    </w:p>
    <w:p w14:paraId="3BA4EAC5">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kern w:val="2"/>
          <w:sz w:val="32"/>
          <w:szCs w:val="32"/>
          <w:lang w:val="en-US"/>
        </w:rPr>
      </w:pPr>
      <w:bookmarkStart w:id="0" w:name="_Toc18298"/>
      <w:bookmarkStart w:id="1" w:name="_Toc29417_WPSOffice_Level1"/>
      <w:r>
        <w:rPr>
          <w:rFonts w:hint="default" w:ascii="Times New Roman" w:hAnsi="Times New Roman" w:eastAsia="仿宋_GB2312" w:cs="Times New Roman"/>
          <w:color w:val="auto"/>
          <w:kern w:val="2"/>
          <w:sz w:val="32"/>
          <w:szCs w:val="32"/>
        </w:rPr>
        <w:t>为持续深入打好蓝天保卫战</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逐步实现空气质量全面达标</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助力美丽</w:t>
      </w:r>
      <w:r>
        <w:rPr>
          <w:rFonts w:hint="default" w:ascii="Times New Roman" w:hAnsi="Times New Roman" w:eastAsia="仿宋_GB2312" w:cs="Times New Roman"/>
          <w:color w:val="auto"/>
          <w:kern w:val="2"/>
          <w:sz w:val="32"/>
          <w:szCs w:val="32"/>
          <w:lang w:val="en-US" w:eastAsia="zh-CN"/>
        </w:rPr>
        <w:t>衡水</w:t>
      </w:r>
      <w:r>
        <w:rPr>
          <w:rFonts w:hint="default" w:ascii="Times New Roman" w:hAnsi="Times New Roman" w:eastAsia="仿宋_GB2312" w:cs="Times New Roman"/>
          <w:color w:val="auto"/>
          <w:kern w:val="2"/>
          <w:sz w:val="32"/>
          <w:szCs w:val="32"/>
        </w:rPr>
        <w:t>建设</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进一步增强人民群众蓝天幸福感</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根据《中华人民共和国大气污染防治法</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国务院关于印发〈空气质量持续改善行动计划〉的通知》（国发〔2023〕24号）和《河北省人民政府关于印发〈空气质量持续改善行动计划实施方案〉的通知》（冀政发〔2024〕4号）要求，结合我市实际，制定本规划。</w:t>
      </w:r>
    </w:p>
    <w:p w14:paraId="6B9FCF8A">
      <w:pPr>
        <w:pStyle w:val="2"/>
        <w:keepNext w:val="0"/>
        <w:keepLines w:val="0"/>
        <w:spacing w:before="0" w:after="0" w:line="620" w:lineRule="exact"/>
        <w:ind w:firstLine="640" w:firstLineChars="200"/>
        <w:rPr>
          <w:rFonts w:ascii="Times New Roman" w:hAnsi="Times New Roman" w:cs="Times New Roman"/>
          <w:color w:val="auto"/>
        </w:rPr>
      </w:pPr>
      <w:bookmarkStart w:id="2" w:name="_Toc8697"/>
      <w:bookmarkStart w:id="3" w:name="_Toc15873"/>
      <w:r>
        <w:rPr>
          <w:rStyle w:val="14"/>
          <w:rFonts w:hint="default" w:ascii="Times New Roman" w:hAnsi="Times New Roman" w:cs="Times New Roman"/>
          <w:b w:val="0"/>
          <w:bCs w:val="0"/>
          <w:color w:val="auto"/>
          <w:szCs w:val="32"/>
          <w:u w:val="none"/>
        </w:rPr>
        <w:t>一、</w:t>
      </w:r>
      <w:r>
        <w:rPr>
          <w:rStyle w:val="14"/>
          <w:rFonts w:hint="default" w:ascii="Times New Roman" w:hAnsi="Times New Roman" w:cs="Times New Roman"/>
          <w:b w:val="0"/>
          <w:bCs w:val="0"/>
          <w:color w:val="auto"/>
          <w:szCs w:val="32"/>
          <w:u w:val="none"/>
          <w:lang w:val="en-US" w:eastAsia="zh-CN"/>
        </w:rPr>
        <w:t>环境</w:t>
      </w:r>
      <w:r>
        <w:rPr>
          <w:rStyle w:val="14"/>
          <w:rFonts w:hint="default" w:ascii="Times New Roman" w:hAnsi="Times New Roman" w:cs="Times New Roman"/>
          <w:b w:val="0"/>
          <w:bCs w:val="0"/>
          <w:color w:val="auto"/>
          <w:szCs w:val="32"/>
          <w:u w:val="none"/>
        </w:rPr>
        <w:t>空气质量现状与达标压力分析</w:t>
      </w:r>
      <w:bookmarkEnd w:id="2"/>
      <w:bookmarkEnd w:id="3"/>
    </w:p>
    <w:p w14:paraId="7EF615B5">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4" w:name="_Toc30474"/>
      <w:bookmarkStart w:id="5" w:name="_Toc10754"/>
      <w:r>
        <w:rPr>
          <w:rFonts w:hint="default" w:ascii="Times New Roman" w:hAnsi="Times New Roman" w:eastAsia="楷体_GB2312" w:cs="Times New Roman"/>
          <w:b w:val="0"/>
          <w:bCs w:val="0"/>
          <w:color w:val="auto"/>
        </w:rPr>
        <w:t>（一）</w:t>
      </w:r>
      <w:r>
        <w:rPr>
          <w:rFonts w:hint="default" w:ascii="Times New Roman" w:hAnsi="Times New Roman" w:eastAsia="楷体_GB2312" w:cs="Times New Roman"/>
          <w:b w:val="0"/>
          <w:bCs w:val="0"/>
          <w:color w:val="auto"/>
          <w:lang w:val="en-US" w:eastAsia="zh-CN"/>
        </w:rPr>
        <w:t>环境空气质量</w:t>
      </w:r>
      <w:r>
        <w:rPr>
          <w:rFonts w:hint="default" w:ascii="Times New Roman" w:hAnsi="Times New Roman" w:eastAsia="楷体_GB2312" w:cs="Times New Roman"/>
          <w:b w:val="0"/>
          <w:bCs w:val="0"/>
          <w:color w:val="auto"/>
        </w:rPr>
        <w:t>现状</w:t>
      </w:r>
      <w:bookmarkEnd w:id="4"/>
      <w:bookmarkEnd w:id="5"/>
    </w:p>
    <w:p w14:paraId="2480CCD0">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三五”期间（2016—2020年），衡水市空气质量持续改善，综合指数由2016年的7.58下降至2020年的5.18，下降比例为31.7%。进入“十四五”时期后（2021—2024年）空气质量改善幅度收窄。综合指数由2021年的4.43下降至2024年的4.22，下降比例为4.7%。</w:t>
      </w:r>
    </w:p>
    <w:p w14:paraId="62C7B4D7">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2021—2024年，全市空气质量整体改善幅度趋于平稳。全市六项主要污染物中，SO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、NO</w:t>
      </w:r>
      <w:r>
        <w:rPr>
          <w:rFonts w:hint="default" w:ascii="Times New Roman" w:hAnsi="Times New Roman" w:eastAsia="仿宋_GB2312" w:cs="Times New Roman"/>
          <w:color w:val="auto"/>
          <w:sz w:val="32"/>
          <w:szCs w:val="32"/>
          <w:vertAlign w:val="subscript"/>
          <w:lang w:val="en-US" w:eastAsia="zh-CN"/>
        </w:rPr>
        <w:t>2</w:t>
      </w:r>
      <w:r>
        <w:rPr>
          <w:rFonts w:hint="default" w:ascii="Times New Roman" w:hAnsi="Times New Roman" w:eastAsia="仿宋_GB2312" w:cs="Times New Roman"/>
          <w:color w:val="auto"/>
          <w:sz w:val="32"/>
          <w:szCs w:val="32"/>
          <w:lang w:val="en-US" w:eastAsia="zh-CN"/>
        </w:rPr>
        <w:t>浓度持续稳定达国家二级标准并呈逐年下降趋势，CO浓度持续稳定达标；PM</w:t>
      </w:r>
      <w:r>
        <w:rPr>
          <w:rFonts w:hint="default" w:ascii="Times New Roman" w:hAnsi="Times New Roman" w:eastAsia="仿宋_GB2312" w:cs="Times New Roman"/>
          <w:color w:val="auto"/>
          <w:sz w:val="32"/>
          <w:szCs w:val="32"/>
          <w:vertAlign w:val="subscript"/>
          <w:lang w:val="en-US" w:eastAsia="zh-CN"/>
        </w:rPr>
        <w:t>2.5</w:t>
      </w:r>
      <w:r>
        <w:rPr>
          <w:rFonts w:hint="default" w:ascii="Times New Roman" w:hAnsi="Times New Roman" w:eastAsia="仿宋_GB2312" w:cs="Times New Roman"/>
          <w:color w:val="auto"/>
          <w:sz w:val="32"/>
          <w:szCs w:val="32"/>
          <w:lang w:val="en-US" w:eastAsia="zh-CN"/>
        </w:rPr>
        <w:t>、PM</w:t>
      </w:r>
      <w:r>
        <w:rPr>
          <w:rFonts w:hint="default" w:ascii="Times New Roman" w:hAnsi="Times New Roman" w:eastAsia="仿宋_GB2312" w:cs="Times New Roman"/>
          <w:color w:val="auto"/>
          <w:sz w:val="32"/>
          <w:szCs w:val="32"/>
          <w:vertAlign w:val="subscript"/>
          <w:lang w:val="en-US" w:eastAsia="zh-CN"/>
        </w:rPr>
        <w:t>10</w:t>
      </w:r>
      <w:r>
        <w:rPr>
          <w:rFonts w:hint="default" w:ascii="Times New Roman" w:hAnsi="Times New Roman" w:eastAsia="仿宋_GB2312" w:cs="Times New Roman"/>
          <w:color w:val="auto"/>
          <w:sz w:val="32"/>
          <w:szCs w:val="32"/>
          <w:lang w:val="en-US" w:eastAsia="zh-CN"/>
        </w:rPr>
        <w:t>浓度略有反弹后呈下降趋势，2024年年均浓度分别为41</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vertAlign w:val="baseline"/>
          <w:lang w:val="en-US" w:eastAsia="zh-CN"/>
        </w:rPr>
        <w:t>超标17%</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vertAlign w:val="baseline"/>
          <w:lang w:val="en-US" w:eastAsia="zh-CN"/>
        </w:rPr>
        <w:t>和69</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vertAlign w:val="baseline"/>
          <w:lang w:val="en-US" w:eastAsia="zh-CN"/>
        </w:rPr>
        <w:t>达标</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-8h-90per</w:t>
      </w:r>
      <w:r>
        <w:rPr>
          <w:rFonts w:hint="default" w:ascii="Times New Roman" w:hAnsi="Times New Roman" w:eastAsia="仿宋_GB2312" w:cs="Times New Roman"/>
          <w:color w:val="auto"/>
          <w:sz w:val="32"/>
          <w:szCs w:val="32"/>
          <w:lang w:val="en-US" w:eastAsia="zh-CN"/>
        </w:rPr>
        <w:t>浓度呈逐年上升趋势，2024年均</w:t>
      </w:r>
      <w:r>
        <w:rPr>
          <w:rFonts w:hint="default" w:ascii="Times New Roman" w:hAnsi="Times New Roman" w:eastAsia="仿宋_GB2312" w:cs="Times New Roman"/>
          <w:color w:val="auto"/>
          <w:sz w:val="32"/>
          <w:szCs w:val="32"/>
        </w:rPr>
        <w:t>浓度为</w:t>
      </w:r>
      <w:r>
        <w:rPr>
          <w:rFonts w:hint="default" w:ascii="Times New Roman" w:hAnsi="Times New Roman" w:eastAsia="仿宋_GB2312" w:cs="Times New Roman"/>
          <w:color w:val="auto"/>
          <w:sz w:val="32"/>
          <w:szCs w:val="32"/>
          <w:lang w:val="en-US" w:eastAsia="zh-CN"/>
        </w:rPr>
        <w:t>182</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超标14%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。全市优良天数近年来整体呈现下降趋势，2024年比2021年减少11天；重污染天数略有减少，2024年比2021年减少2天。</w:t>
      </w:r>
    </w:p>
    <w:p w14:paraId="717DA79F">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综上分析，衡水市近年来空气质量整体呈改善趋势，但改善幅度逐渐收窄，甚至略有反弹，PM</w:t>
      </w:r>
      <w:r>
        <w:rPr>
          <w:rFonts w:hint="default" w:ascii="Times New Roman" w:hAnsi="Times New Roman" w:eastAsia="仿宋_GB2312" w:cs="Times New Roman"/>
          <w:color w:val="auto"/>
          <w:sz w:val="32"/>
          <w:szCs w:val="32"/>
          <w:vertAlign w:val="subscript"/>
          <w:lang w:val="en-US" w:eastAsia="zh-CN"/>
        </w:rPr>
        <w:t>2.5</w:t>
      </w:r>
      <w:r>
        <w:rPr>
          <w:rFonts w:hint="default" w:ascii="Times New Roman" w:hAnsi="Times New Roman" w:eastAsia="仿宋_GB2312" w:cs="Times New Roman"/>
          <w:color w:val="auto"/>
          <w:sz w:val="32"/>
          <w:szCs w:val="32"/>
          <w:lang w:val="en-US" w:eastAsia="zh-CN"/>
        </w:rPr>
        <w:t>和O</w:t>
      </w:r>
      <w:r>
        <w:rPr>
          <w:rFonts w:hint="default" w:ascii="Times New Roman" w:hAnsi="Times New Roman" w:eastAsia="仿宋_GB2312" w:cs="Times New Roman"/>
          <w:color w:val="auto"/>
          <w:sz w:val="32"/>
          <w:szCs w:val="32"/>
          <w:vertAlign w:val="subscript"/>
          <w:lang w:val="en-US" w:eastAsia="zh-CN"/>
        </w:rPr>
        <w:t>3</w:t>
      </w:r>
      <w:r>
        <w:rPr>
          <w:rFonts w:hint="default" w:ascii="Times New Roman" w:hAnsi="Times New Roman" w:eastAsia="仿宋_GB2312" w:cs="Times New Roman"/>
          <w:color w:val="auto"/>
          <w:sz w:val="32"/>
          <w:szCs w:val="32"/>
        </w:rPr>
        <w:t>-8h-90per</w:t>
      </w:r>
      <w:r>
        <w:rPr>
          <w:rFonts w:hint="default" w:ascii="Times New Roman" w:hAnsi="Times New Roman" w:eastAsia="仿宋_GB2312" w:cs="Times New Roman"/>
          <w:color w:val="auto"/>
          <w:sz w:val="32"/>
          <w:szCs w:val="32"/>
          <w:lang w:val="en-US" w:eastAsia="zh-CN"/>
        </w:rPr>
        <w:t>两项污染物年均浓度未达到国家环境空气质量二级标准要求。</w:t>
      </w:r>
    </w:p>
    <w:p w14:paraId="03139F2D">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6" w:name="_Toc21935"/>
      <w:bookmarkStart w:id="7" w:name="_Toc17325"/>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二</w:t>
      </w:r>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rPr>
        <w:t>污染源排放情况</w:t>
      </w:r>
      <w:bookmarkEnd w:id="6"/>
      <w:bookmarkEnd w:id="7"/>
    </w:p>
    <w:p w14:paraId="54C01786">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red"/>
          <w:lang w:val="en-US" w:eastAsia="zh-CN"/>
        </w:rPr>
      </w:pPr>
      <w:r>
        <w:rPr>
          <w:rFonts w:hint="default" w:ascii="Times New Roman" w:hAnsi="Times New Roman" w:eastAsia="仿宋_GB2312" w:cs="Times New Roman"/>
          <w:color w:val="auto"/>
          <w:sz w:val="32"/>
          <w:szCs w:val="32"/>
          <w:highlight w:val="none"/>
          <w:lang w:val="en-US" w:eastAsia="zh-CN"/>
        </w:rPr>
        <w:t>根据衡水市2023年大气污染物和温室气体融合清单测算，全市主要大气污染物年排放总量分别为：二氧化硫2800吨、氮氧化物28749吨，PM</w:t>
      </w:r>
      <w:r>
        <w:rPr>
          <w:rFonts w:hint="default" w:ascii="Times New Roman" w:hAnsi="Times New Roman" w:eastAsia="仿宋_GB2312" w:cs="Times New Roman"/>
          <w:color w:val="auto"/>
          <w:sz w:val="32"/>
          <w:szCs w:val="32"/>
          <w:highlight w:val="none"/>
          <w:vertAlign w:val="subscript"/>
          <w:lang w:val="en-US" w:eastAsia="zh-CN"/>
        </w:rPr>
        <w:t>2.5</w:t>
      </w:r>
      <w:r>
        <w:rPr>
          <w:rFonts w:hint="default" w:ascii="Times New Roman" w:hAnsi="Times New Roman" w:eastAsia="仿宋_GB2312" w:cs="Times New Roman"/>
          <w:color w:val="auto"/>
          <w:sz w:val="32"/>
          <w:szCs w:val="32"/>
          <w:highlight w:val="none"/>
          <w:lang w:val="en-US" w:eastAsia="zh-CN"/>
        </w:rPr>
        <w:t>15754吨，PM</w:t>
      </w:r>
      <w:r>
        <w:rPr>
          <w:rFonts w:hint="default" w:ascii="Times New Roman" w:hAnsi="Times New Roman" w:eastAsia="仿宋_GB2312" w:cs="Times New Roman"/>
          <w:color w:val="auto"/>
          <w:sz w:val="32"/>
          <w:szCs w:val="32"/>
          <w:highlight w:val="none"/>
          <w:vertAlign w:val="subscript"/>
          <w:lang w:val="en-US" w:eastAsia="zh-CN"/>
        </w:rPr>
        <w:t>10</w:t>
      </w:r>
      <w:r>
        <w:rPr>
          <w:rFonts w:hint="default" w:ascii="Times New Roman" w:hAnsi="Times New Roman" w:eastAsia="仿宋_GB2312" w:cs="Times New Roman"/>
          <w:color w:val="auto"/>
          <w:sz w:val="32"/>
          <w:szCs w:val="32"/>
          <w:highlight w:val="none"/>
          <w:lang w:val="en-US" w:eastAsia="zh-CN"/>
        </w:rPr>
        <w:t>44132吨，挥发性有机物28743吨，氨41222吨。二氧化硫</w:t>
      </w:r>
      <w:r>
        <w:rPr>
          <w:rFonts w:hint="default" w:ascii="Times New Roman" w:hAnsi="Times New Roman" w:eastAsia="仿宋_GB2312" w:cs="Times New Roman"/>
          <w:b w:val="0"/>
          <w:bCs w:val="0"/>
          <w:color w:val="auto"/>
          <w:sz w:val="32"/>
          <w:szCs w:val="32"/>
        </w:rPr>
        <w:t>主要排放源为化石燃料固定燃烧源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移动源和工艺过程源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贡献率分别为55.64</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14.75%和12.46%</w:t>
      </w:r>
      <w:r>
        <w:rPr>
          <w:rFonts w:hint="default" w:ascii="Times New Roman" w:hAnsi="Times New Roman" w:eastAsia="仿宋_GB2312" w:cs="Times New Roman"/>
          <w:b w:val="0"/>
          <w:bCs w:val="0"/>
          <w:color w:val="auto"/>
          <w:sz w:val="32"/>
          <w:szCs w:val="32"/>
        </w:rPr>
        <w:t>；氮氧化物主要排放源为</w:t>
      </w:r>
      <w:r>
        <w:rPr>
          <w:rFonts w:hint="default" w:ascii="Times New Roman" w:hAnsi="Times New Roman" w:eastAsia="仿宋_GB2312" w:cs="Times New Roman"/>
          <w:b w:val="0"/>
          <w:bCs w:val="0"/>
          <w:color w:val="auto"/>
          <w:sz w:val="32"/>
          <w:szCs w:val="32"/>
          <w:lang w:val="en-US" w:eastAsia="zh-CN"/>
        </w:rPr>
        <w:t>移动源、</w:t>
      </w:r>
      <w:r>
        <w:rPr>
          <w:rFonts w:hint="default" w:ascii="Times New Roman" w:hAnsi="Times New Roman" w:eastAsia="仿宋_GB2312" w:cs="Times New Roman"/>
          <w:b w:val="0"/>
          <w:bCs w:val="0"/>
          <w:color w:val="auto"/>
          <w:sz w:val="32"/>
          <w:szCs w:val="32"/>
        </w:rPr>
        <w:t>化石燃料固定燃烧源</w:t>
      </w:r>
      <w:r>
        <w:rPr>
          <w:rFonts w:hint="default" w:ascii="Times New Roman" w:hAnsi="Times New Roman" w:eastAsia="仿宋_GB2312" w:cs="Times New Roman"/>
          <w:b w:val="0"/>
          <w:bCs w:val="0"/>
          <w:color w:val="auto"/>
          <w:sz w:val="32"/>
          <w:szCs w:val="32"/>
          <w:lang w:val="en-US" w:eastAsia="zh-CN"/>
        </w:rPr>
        <w:t>和工艺过程源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贡献率分别为75.61</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20.6%和6.39%</w:t>
      </w:r>
      <w:r>
        <w:rPr>
          <w:rFonts w:hint="default"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PM</w:t>
      </w:r>
      <w:r>
        <w:rPr>
          <w:rFonts w:ascii="Times New Roman" w:hAnsi="Times New Roman" w:eastAsia="仿宋_GB2312" w:cs="Times New Roman"/>
          <w:b w:val="0"/>
          <w:bCs w:val="0"/>
          <w:color w:val="auto"/>
          <w:sz w:val="32"/>
          <w:szCs w:val="32"/>
          <w:vertAlign w:val="subscript"/>
        </w:rPr>
        <w:t>2.5</w:t>
      </w:r>
      <w:r>
        <w:rPr>
          <w:rFonts w:hint="default" w:ascii="Times New Roman" w:hAnsi="Times New Roman" w:eastAsia="仿宋_GB2312" w:cs="Times New Roman"/>
          <w:b w:val="0"/>
          <w:bCs w:val="0"/>
          <w:color w:val="auto"/>
          <w:sz w:val="32"/>
          <w:szCs w:val="32"/>
        </w:rPr>
        <w:t>主要排放源为</w:t>
      </w:r>
      <w:r>
        <w:rPr>
          <w:rFonts w:hint="default" w:ascii="Times New Roman" w:hAnsi="Times New Roman" w:eastAsia="仿宋_GB2312" w:cs="Times New Roman"/>
          <w:b w:val="0"/>
          <w:bCs w:val="0"/>
          <w:color w:val="auto"/>
          <w:sz w:val="32"/>
          <w:szCs w:val="32"/>
          <w:lang w:val="en-US" w:eastAsia="zh-CN"/>
        </w:rPr>
        <w:t>扬尘源、工艺过程源和餐饮油烟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贡献率分别为45.67</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26.58%和13.1%</w:t>
      </w:r>
      <w:r>
        <w:rPr>
          <w:rFonts w:hint="default"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color w:val="auto"/>
          <w:sz w:val="32"/>
          <w:szCs w:val="32"/>
        </w:rPr>
        <w:t>PM</w:t>
      </w:r>
      <w:r>
        <w:rPr>
          <w:rFonts w:ascii="Times New Roman" w:hAnsi="Times New Roman" w:eastAsia="仿宋_GB2312" w:cs="Times New Roman"/>
          <w:b w:val="0"/>
          <w:bCs w:val="0"/>
          <w:color w:val="auto"/>
          <w:sz w:val="32"/>
          <w:szCs w:val="32"/>
          <w:vertAlign w:val="subscript"/>
        </w:rPr>
        <w:t>10</w:t>
      </w:r>
      <w:r>
        <w:rPr>
          <w:rFonts w:hint="default" w:ascii="Times New Roman" w:hAnsi="Times New Roman" w:eastAsia="仿宋_GB2312" w:cs="Times New Roman"/>
          <w:b w:val="0"/>
          <w:bCs w:val="0"/>
          <w:color w:val="auto"/>
          <w:sz w:val="32"/>
          <w:szCs w:val="32"/>
        </w:rPr>
        <w:t>主要排放源为</w:t>
      </w:r>
      <w:r>
        <w:rPr>
          <w:rFonts w:hint="default" w:ascii="Times New Roman" w:hAnsi="Times New Roman" w:eastAsia="仿宋_GB2312" w:cs="Times New Roman"/>
          <w:b w:val="0"/>
          <w:bCs w:val="0"/>
          <w:color w:val="auto"/>
          <w:sz w:val="32"/>
          <w:szCs w:val="32"/>
          <w:lang w:val="en-US" w:eastAsia="zh-CN"/>
        </w:rPr>
        <w:t>扬尘源、工艺过程源和餐饮油烟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贡献率分别为72.92</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15.11%和5.84%</w:t>
      </w:r>
      <w:r>
        <w:rPr>
          <w:rFonts w:hint="default" w:ascii="Times New Roman" w:hAnsi="Times New Roman" w:eastAsia="仿宋_GB2312" w:cs="Times New Roman"/>
          <w:b w:val="0"/>
          <w:bCs w:val="0"/>
          <w:color w:val="auto"/>
          <w:sz w:val="32"/>
          <w:szCs w:val="32"/>
        </w:rPr>
        <w:t>；挥发性有机物主要排放源为</w:t>
      </w:r>
      <w:r>
        <w:rPr>
          <w:rFonts w:hint="default" w:ascii="Times New Roman" w:hAnsi="Times New Roman" w:eastAsia="仿宋_GB2312" w:cs="Times New Roman"/>
          <w:b w:val="0"/>
          <w:bCs w:val="0"/>
          <w:color w:val="auto"/>
          <w:sz w:val="32"/>
          <w:szCs w:val="32"/>
          <w:lang w:val="en-US" w:eastAsia="zh-CN"/>
        </w:rPr>
        <w:t>溶剂使用源、移动源和储存运输源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贡献率分别为37.91</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19.23%和14.74%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氨</w:t>
      </w:r>
      <w:r>
        <w:rPr>
          <w:rFonts w:hint="default" w:ascii="Times New Roman" w:hAnsi="Times New Roman" w:eastAsia="仿宋_GB2312" w:cs="Times New Roman"/>
          <w:b w:val="0"/>
          <w:bCs w:val="0"/>
          <w:color w:val="auto"/>
          <w:sz w:val="32"/>
          <w:szCs w:val="32"/>
        </w:rPr>
        <w:t>主要排放源为</w:t>
      </w:r>
      <w:r>
        <w:rPr>
          <w:rFonts w:hint="default" w:ascii="Times New Roman" w:hAnsi="Times New Roman" w:eastAsia="仿宋_GB2312" w:cs="Times New Roman"/>
          <w:b w:val="0"/>
          <w:bCs w:val="0"/>
          <w:color w:val="auto"/>
          <w:sz w:val="32"/>
          <w:szCs w:val="32"/>
          <w:lang w:val="en-US" w:eastAsia="zh-CN"/>
        </w:rPr>
        <w:t>农业源、工艺过程源和废弃物处理源</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贡献率分别为97.4</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19.23%和14.74%</w:t>
      </w:r>
      <w:r>
        <w:rPr>
          <w:rFonts w:hint="default" w:ascii="Times New Roman" w:hAnsi="Times New Roman" w:eastAsia="仿宋_GB2312" w:cs="Times New Roman"/>
          <w:b w:val="0"/>
          <w:bCs w:val="0"/>
          <w:color w:val="auto"/>
          <w:sz w:val="32"/>
          <w:szCs w:val="32"/>
          <w:lang w:eastAsia="zh-CN"/>
        </w:rPr>
        <w:t>。</w:t>
      </w:r>
    </w:p>
    <w:p w14:paraId="187D349E">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lang w:eastAsia="zh-CN"/>
        </w:rPr>
      </w:pPr>
      <w:bookmarkStart w:id="8" w:name="_Toc25071"/>
      <w:bookmarkStart w:id="9" w:name="_Toc27337"/>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三</w:t>
      </w:r>
      <w:r>
        <w:rPr>
          <w:rFonts w:hint="default" w:ascii="Times New Roman" w:hAnsi="Times New Roman" w:eastAsia="楷体_GB2312" w:cs="Times New Roman"/>
          <w:b w:val="0"/>
          <w:bCs w:val="0"/>
          <w:color w:val="auto"/>
          <w:lang w:eastAsia="zh-CN"/>
        </w:rPr>
        <w:t>）达标压力分析</w:t>
      </w:r>
      <w:bookmarkEnd w:id="8"/>
      <w:bookmarkEnd w:id="9"/>
    </w:p>
    <w:p w14:paraId="11F8C2BB">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lang w:eastAsia="zh-CN"/>
        </w:rPr>
      </w:pPr>
      <w:r>
        <w:rPr>
          <w:rFonts w:ascii="Times New Roman" w:hAnsi="Times New Roman" w:eastAsia="仿宋_GB2312" w:cs="Times New Roman"/>
          <w:b w:val="0"/>
          <w:bCs w:val="0"/>
          <w:color w:val="auto"/>
          <w:kern w:val="0"/>
          <w:sz w:val="32"/>
          <w:szCs w:val="32"/>
        </w:rPr>
        <w:t>1.</w:t>
      </w:r>
      <w:r>
        <w:rPr>
          <w:rFonts w:hint="default" w:ascii="Times New Roman" w:hAnsi="Times New Roman" w:eastAsia="仿宋_GB2312" w:cs="Times New Roman"/>
          <w:b w:val="0"/>
          <w:bCs w:val="0"/>
          <w:color w:val="auto"/>
          <w:kern w:val="0"/>
          <w:sz w:val="32"/>
          <w:szCs w:val="32"/>
        </w:rPr>
        <w:t>部分污染物浓度超标</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空气质量达标</w:t>
      </w:r>
      <w:r>
        <w:rPr>
          <w:rFonts w:hint="default" w:ascii="Times New Roman" w:hAnsi="Times New Roman" w:eastAsia="仿宋_GB2312" w:cs="Times New Roman"/>
          <w:b w:val="0"/>
          <w:bCs w:val="0"/>
          <w:color w:val="auto"/>
          <w:kern w:val="0"/>
          <w:sz w:val="32"/>
          <w:szCs w:val="32"/>
          <w:lang w:eastAsia="zh-CN"/>
        </w:rPr>
        <w:t>压力较大</w:t>
      </w:r>
    </w:p>
    <w:p w14:paraId="3C055C5A">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sectPr>
          <w:footerReference r:id="rId10" w:type="first"/>
          <w:headerReference r:id="rId7" w:type="default"/>
          <w:footerReference r:id="rId8" w:type="default"/>
          <w:footerReference r:id="rId9" w:type="even"/>
          <w:pgSz w:w="11906" w:h="16838"/>
          <w:pgMar w:top="1871" w:right="1587" w:bottom="1474" w:left="1587" w:header="851" w:footer="992" w:gutter="0"/>
          <w:pgNumType w:fmt="decimal" w:start="1"/>
          <w:cols w:space="0" w:num="1"/>
          <w:rtlGutter w:val="0"/>
          <w:docGrid w:type="lines" w:linePitch="312" w:charSpace="0"/>
        </w:sectPr>
      </w:pPr>
    </w:p>
    <w:p w14:paraId="697A5760">
      <w:pPr>
        <w:tabs>
          <w:tab w:val="left" w:pos="3336"/>
        </w:tabs>
        <w:adjustRightInd w:val="0"/>
        <w:snapToGrid w:val="0"/>
        <w:spacing w:line="62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“十四五”期间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衡水市污染物除</w:t>
      </w:r>
      <w:r>
        <w:rPr>
          <w:rFonts w:ascii="Times New Roman" w:hAnsi="Times New Roman" w:eastAsia="仿宋_GB2312" w:cs="Times New Roman"/>
          <w:color w:val="auto"/>
          <w:sz w:val="32"/>
          <w:szCs w:val="32"/>
        </w:rPr>
        <w:t>SO</w:t>
      </w:r>
      <w:r>
        <w:rPr>
          <w:rFonts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NO</w:t>
      </w:r>
      <w:r>
        <w:rPr>
          <w:rFonts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CO</w:t>
      </w:r>
      <w:r>
        <w:rPr>
          <w:rFonts w:hint="default" w:ascii="Times New Roman" w:hAnsi="Times New Roman" w:eastAsia="仿宋_GB2312" w:cs="Times New Roman"/>
          <w:color w:val="auto"/>
          <w:sz w:val="32"/>
          <w:szCs w:val="32"/>
        </w:rPr>
        <w:t>浓度</w:t>
      </w:r>
      <w:r>
        <w:rPr>
          <w:rFonts w:hint="default" w:ascii="Times New Roman" w:hAnsi="Times New Roman" w:eastAsia="仿宋_GB2312" w:cs="Times New Roman"/>
          <w:color w:val="auto"/>
          <w:sz w:val="32"/>
          <w:szCs w:val="32"/>
          <w:lang w:val="en-US" w:eastAsia="zh-CN"/>
        </w:rPr>
        <w:t>能稳定</w:t>
      </w:r>
      <w:r>
        <w:rPr>
          <w:rFonts w:hint="default" w:ascii="Times New Roman" w:hAnsi="Times New Roman" w:eastAsia="仿宋_GB2312" w:cs="Times New Roman"/>
          <w:color w:val="auto"/>
          <w:sz w:val="32"/>
          <w:szCs w:val="32"/>
        </w:rPr>
        <w:t>达标外</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PM</w:t>
      </w:r>
      <w:r>
        <w:rPr>
          <w:rFonts w:ascii="Times New Roman" w:hAnsi="Times New Roman" w:eastAsia="仿宋_GB2312" w:cs="Times New Roman"/>
          <w:color w:val="auto"/>
          <w:sz w:val="32"/>
          <w:szCs w:val="32"/>
          <w:vertAlign w:val="subscript"/>
        </w:rPr>
        <w:t>10</w:t>
      </w:r>
      <w:r>
        <w:rPr>
          <w:rFonts w:hint="default" w:ascii="Times New Roman" w:hAnsi="Times New Roman" w:eastAsia="仿宋_GB2312" w:cs="Times New Roman"/>
          <w:color w:val="auto"/>
          <w:sz w:val="32"/>
          <w:szCs w:val="32"/>
        </w:rPr>
        <w:t>浓度</w:t>
      </w:r>
      <w:r>
        <w:rPr>
          <w:rFonts w:hint="default" w:ascii="Times New Roman" w:hAnsi="Times New Roman" w:eastAsia="仿宋_GB2312" w:cs="Times New Roman"/>
          <w:color w:val="auto"/>
          <w:sz w:val="32"/>
          <w:szCs w:val="32"/>
          <w:lang w:val="en-US" w:eastAsia="zh-CN"/>
        </w:rPr>
        <w:t>偶有达标，</w:t>
      </w:r>
      <w:r>
        <w:rPr>
          <w:rFonts w:hint="default" w:ascii="Times New Roman" w:hAnsi="Times New Roman" w:eastAsia="仿宋_GB2312" w:cs="Times New Roman"/>
          <w:color w:val="auto"/>
          <w:sz w:val="32"/>
          <w:szCs w:val="32"/>
        </w:rPr>
        <w:t>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与O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年均浓度仍未达到国家环境空气质量年均值二级标准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PM</w:t>
      </w:r>
      <w:r>
        <w:rPr>
          <w:rFonts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浓度</w:t>
      </w:r>
      <w:r>
        <w:rPr>
          <w:rFonts w:hint="default" w:ascii="Times New Roman" w:hAnsi="Times New Roman" w:eastAsia="仿宋_GB2312" w:cs="Times New Roman"/>
          <w:color w:val="auto"/>
          <w:sz w:val="32"/>
          <w:szCs w:val="32"/>
          <w:lang w:val="en-US" w:eastAsia="zh-CN"/>
        </w:rPr>
        <w:t>超国家环境空气质量二级标准0.17倍，与2021年相比，年均浓度仅降低1</w:t>
      </w:r>
      <w:r>
        <w:rPr>
          <w:rFonts w:hint="default" w:ascii="Times New Roman" w:hAnsi="Times New Roman" w:eastAsia="仿宋_GB2312" w:cs="Times New Roman"/>
          <w:color w:val="auto"/>
          <w:sz w:val="32"/>
          <w:szCs w:val="32"/>
          <w:lang w:eastAsia="zh-CN"/>
        </w:rPr>
        <w:t>μg/m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-8h</w:t>
      </w:r>
      <w:r>
        <w:rPr>
          <w:rFonts w:hint="default" w:ascii="Times New Roman" w:hAnsi="Times New Roman" w:eastAsia="仿宋_GB2312" w:cs="Times New Roman"/>
          <w:color w:val="auto"/>
          <w:sz w:val="32"/>
          <w:szCs w:val="32"/>
          <w:highlight w:val="none"/>
        </w:rPr>
        <w:t>-90per年均浓度不降反升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超国家环境空气质量二级标准0.14倍，且</w:t>
      </w:r>
      <w:r>
        <w:rPr>
          <w:rFonts w:hint="default" w:ascii="Times New Roman" w:hAnsi="Times New Roman" w:eastAsia="仿宋_GB2312" w:cs="Times New Roman"/>
          <w:color w:val="auto"/>
          <w:sz w:val="32"/>
          <w:szCs w:val="32"/>
          <w:highlight w:val="none"/>
        </w:rPr>
        <w:t>以</w:t>
      </w:r>
      <w:r>
        <w:rPr>
          <w:rFonts w:ascii="Times New Roman" w:hAnsi="Times New Roman" w:eastAsia="仿宋_GB2312" w:cs="Times New Roman"/>
          <w:color w:val="auto"/>
          <w:sz w:val="32"/>
          <w:szCs w:val="32"/>
          <w:highlight w:val="none"/>
        </w:rPr>
        <w:t>O</w:t>
      </w:r>
      <w:r>
        <w:rPr>
          <w:rFonts w:ascii="Times New Roman" w:hAnsi="Times New Roman" w:eastAsia="仿宋_GB2312" w:cs="Times New Roman"/>
          <w:color w:val="auto"/>
          <w:sz w:val="32"/>
          <w:szCs w:val="32"/>
          <w:highlight w:val="none"/>
          <w:vertAlign w:val="subscript"/>
        </w:rPr>
        <w:t>3</w:t>
      </w:r>
      <w:r>
        <w:rPr>
          <w:rFonts w:hint="default" w:ascii="Times New Roman" w:hAnsi="Times New Roman" w:eastAsia="仿宋_GB2312" w:cs="Times New Roman"/>
          <w:color w:val="auto"/>
          <w:sz w:val="32"/>
          <w:szCs w:val="32"/>
          <w:highlight w:val="none"/>
        </w:rPr>
        <w:t>为首要污染物的天数为164天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占比44.8%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年相比上升2.6%。</w:t>
      </w:r>
      <w:r>
        <w:rPr>
          <w:rFonts w:hint="default" w:ascii="Times New Roman" w:hAnsi="Times New Roman" w:eastAsia="仿宋_GB2312" w:cs="Times New Roman"/>
          <w:color w:val="auto"/>
          <w:sz w:val="32"/>
          <w:szCs w:val="32"/>
          <w:highlight w:val="none"/>
          <w:lang w:val="en-US" w:eastAsia="zh-CN"/>
        </w:rPr>
        <w:t>因此，</w:t>
      </w:r>
      <w:r>
        <w:rPr>
          <w:rFonts w:hint="default" w:ascii="Times New Roman" w:hAnsi="Times New Roman" w:eastAsia="仿宋_GB2312" w:cs="Times New Roman"/>
          <w:color w:val="auto"/>
          <w:sz w:val="32"/>
          <w:szCs w:val="32"/>
          <w:highlight w:val="none"/>
        </w:rPr>
        <w:t>PM</w:t>
      </w:r>
      <w:r>
        <w:rPr>
          <w:rFonts w:hint="default" w:ascii="Times New Roman" w:hAnsi="Times New Roman" w:eastAsia="仿宋_GB2312" w:cs="Times New Roman"/>
          <w:color w:val="auto"/>
          <w:sz w:val="32"/>
          <w:szCs w:val="32"/>
          <w:highlight w:val="none"/>
          <w:vertAlign w:val="subscript"/>
        </w:rPr>
        <w:t>2.5</w:t>
      </w:r>
      <w:r>
        <w:rPr>
          <w:rFonts w:hint="default" w:ascii="Times New Roman" w:hAnsi="Times New Roman" w:eastAsia="仿宋_GB2312" w:cs="Times New Roman"/>
          <w:color w:val="auto"/>
          <w:sz w:val="32"/>
          <w:szCs w:val="32"/>
          <w:highlight w:val="none"/>
        </w:rPr>
        <w:t>与O</w:t>
      </w:r>
      <w:r>
        <w:rPr>
          <w:rFonts w:hint="default" w:ascii="Times New Roman" w:hAnsi="Times New Roman" w:eastAsia="仿宋_GB2312" w:cs="Times New Roman"/>
          <w:color w:val="auto"/>
          <w:sz w:val="32"/>
          <w:szCs w:val="32"/>
          <w:highlight w:val="none"/>
          <w:vertAlign w:val="subscript"/>
        </w:rPr>
        <w:t>3</w:t>
      </w:r>
      <w:r>
        <w:rPr>
          <w:rFonts w:hint="default" w:ascii="Times New Roman" w:hAnsi="Times New Roman" w:eastAsia="仿宋_GB2312" w:cs="Times New Roman"/>
          <w:color w:val="auto"/>
          <w:sz w:val="32"/>
          <w:szCs w:val="32"/>
          <w:highlight w:val="none"/>
        </w:rPr>
        <w:t>仍是大气污染防治的重点。</w:t>
      </w:r>
    </w:p>
    <w:p w14:paraId="52CFC1D2">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highlight w:val="none"/>
          <w:lang w:val="en-US" w:eastAsia="zh-CN"/>
        </w:rPr>
      </w:pPr>
      <w:r>
        <w:rPr>
          <w:rFonts w:ascii="Times New Roman" w:hAnsi="Times New Roman" w:eastAsia="仿宋_GB2312" w:cs="Times New Roman"/>
          <w:b w:val="0"/>
          <w:bCs w:val="0"/>
          <w:color w:val="auto"/>
          <w:kern w:val="0"/>
          <w:sz w:val="32"/>
          <w:szCs w:val="32"/>
          <w:highlight w:val="none"/>
        </w:rPr>
        <w:t>2.</w:t>
      </w:r>
      <w:r>
        <w:rPr>
          <w:rFonts w:hint="default" w:ascii="Times New Roman" w:hAnsi="Times New Roman" w:eastAsia="仿宋_GB2312" w:cs="Times New Roman"/>
          <w:b w:val="0"/>
          <w:bCs w:val="0"/>
          <w:color w:val="auto"/>
          <w:kern w:val="0"/>
          <w:sz w:val="32"/>
          <w:szCs w:val="32"/>
          <w:highlight w:val="none"/>
        </w:rPr>
        <w:t>大气污染物扩散条件差</w:t>
      </w:r>
      <w:r>
        <w:rPr>
          <w:rFonts w:hint="default" w:ascii="Times New Roman" w:hAnsi="Times New Roman" w:eastAsia="仿宋_GB2312" w:cs="Times New Roman"/>
          <w:b w:val="0"/>
          <w:bCs w:val="0"/>
          <w:color w:val="auto"/>
          <w:kern w:val="0"/>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lang w:val="en-US" w:eastAsia="zh-CN"/>
        </w:rPr>
        <w:t>二次污染转化显著</w:t>
      </w:r>
    </w:p>
    <w:p w14:paraId="1F2C07DC">
      <w:pPr>
        <w:tabs>
          <w:tab w:val="left" w:pos="3336"/>
        </w:tabs>
        <w:adjustRightInd w:val="0"/>
        <w:snapToGrid w:val="0"/>
        <w:spacing w:line="6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衡</w:t>
      </w:r>
      <w:r>
        <w:rPr>
          <w:rFonts w:hint="default" w:ascii="Times New Roman" w:hAnsi="Times New Roman" w:eastAsia="仿宋_GB2312" w:cs="Times New Roman"/>
          <w:color w:val="auto"/>
          <w:sz w:val="32"/>
          <w:szCs w:val="32"/>
          <w:highlight w:val="none"/>
        </w:rPr>
        <w:t>水市重污染天气是本地排放、区域传输与不利气象</w:t>
      </w:r>
      <w:r>
        <w:rPr>
          <w:rFonts w:hint="default" w:ascii="Times New Roman" w:hAnsi="Times New Roman" w:eastAsia="仿宋_GB2312" w:cs="Times New Roman"/>
          <w:color w:val="auto"/>
          <w:sz w:val="32"/>
          <w:szCs w:val="32"/>
        </w:rPr>
        <w:t>共同作用的结果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且二次污染转化显著。衡水市重污染天气的本地排放源以工业燃煤、机动车尾气、扬尘及生活源为核心。衡水市地处京津冀中南部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易受周边城市工业排放及沙尘的区域传输影响。污染物通过高空（1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2km）输送至本地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随后在静稳天气、逆温层及洼地地形协同作用下沉降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加重本地污染。</w:t>
      </w:r>
    </w:p>
    <w:p w14:paraId="483119FD">
      <w:pPr>
        <w:tabs>
          <w:tab w:val="left" w:pos="3336"/>
        </w:tabs>
        <w:adjustRightInd w:val="0"/>
        <w:snapToGrid w:val="0"/>
        <w:spacing w:line="62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重污染天气具有明显的季节性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秋冬季（11月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次年2月）是高发期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主要受燃煤采暖、逆温层及扩散条件差影响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首要污染物为PM</w:t>
      </w:r>
      <w:r>
        <w:rPr>
          <w:rFonts w:hint="default" w:ascii="Times New Roman" w:hAnsi="Times New Roman" w:eastAsia="仿宋_GB2312" w:cs="Times New Roman"/>
          <w:color w:val="auto"/>
          <w:sz w:val="32"/>
          <w:szCs w:val="32"/>
          <w:vertAlign w:val="subscript"/>
        </w:rPr>
        <w:t>2.5</w:t>
      </w:r>
      <w:r>
        <w:rPr>
          <w:rFonts w:hint="default" w:ascii="Times New Roman" w:hAnsi="Times New Roman" w:eastAsia="仿宋_GB2312" w:cs="Times New Roman"/>
          <w:color w:val="auto"/>
          <w:sz w:val="32"/>
          <w:szCs w:val="32"/>
        </w:rPr>
        <w:t>。夏季则以臭氧（O</w:t>
      </w:r>
      <w:r>
        <w:rPr>
          <w:rFonts w:hint="default" w:ascii="Times New Roman" w:hAnsi="Times New Roman" w:eastAsia="仿宋_GB2312" w:cs="Times New Roman"/>
          <w:color w:val="auto"/>
          <w:sz w:val="32"/>
          <w:szCs w:val="32"/>
          <w:vertAlign w:val="subscript"/>
        </w:rPr>
        <w:t>3</w:t>
      </w:r>
      <w:r>
        <w:rPr>
          <w:rFonts w:hint="default" w:ascii="Times New Roman" w:hAnsi="Times New Roman" w:eastAsia="仿宋_GB2312" w:cs="Times New Roman"/>
          <w:color w:val="auto"/>
          <w:sz w:val="32"/>
          <w:szCs w:val="32"/>
        </w:rPr>
        <w:t>）污染为主</w:t>
      </w:r>
      <w:r>
        <w:rPr>
          <w:rFonts w:hint="eastAsia" w:ascii="Times New Roman" w:hAnsi="Times New Roman" w:eastAsia="仿宋_GB2312" w:cs="Times New Roman"/>
          <w:color w:val="auto"/>
          <w:sz w:val="32"/>
          <w:szCs w:val="32"/>
          <w:lang w:eastAsia="zh-CN"/>
        </w:rPr>
        <w:t>。</w:t>
      </w:r>
    </w:p>
    <w:p w14:paraId="1DA575ED">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highlight w:val="none"/>
          <w:lang w:val="en-US" w:eastAsia="zh-CN"/>
        </w:rPr>
      </w:pPr>
      <w:r>
        <w:rPr>
          <w:rFonts w:ascii="Times New Roman" w:hAnsi="Times New Roman" w:eastAsia="仿宋_GB2312" w:cs="Times New Roman"/>
          <w:b w:val="0"/>
          <w:bCs w:val="0"/>
          <w:color w:val="auto"/>
          <w:kern w:val="0"/>
          <w:sz w:val="32"/>
          <w:szCs w:val="32"/>
          <w:highlight w:val="none"/>
        </w:rPr>
        <w:t>3.</w:t>
      </w:r>
      <w:r>
        <w:rPr>
          <w:rFonts w:hint="default" w:ascii="Times New Roman" w:hAnsi="Times New Roman" w:eastAsia="仿宋_GB2312" w:cs="Times New Roman"/>
          <w:b w:val="0"/>
          <w:bCs w:val="0"/>
          <w:color w:val="auto"/>
          <w:kern w:val="0"/>
          <w:sz w:val="32"/>
          <w:szCs w:val="32"/>
          <w:highlight w:val="none"/>
          <w:lang w:val="en-US" w:eastAsia="zh-CN"/>
        </w:rPr>
        <w:t>三大结构调整任务困难，转型压力较大</w:t>
      </w:r>
    </w:p>
    <w:p w14:paraId="7DE17107">
      <w:pPr>
        <w:tabs>
          <w:tab w:val="left" w:pos="3336"/>
        </w:tabs>
        <w:adjustRightInd w:val="0"/>
        <w:snapToGrid w:val="0"/>
        <w:spacing w:line="62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rPr>
        <w:t>衡水市产业结构仍以传统产业为主</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产业布局较为分散</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园区产业链关联度低</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未能形成有效的集群效应</w:t>
      </w:r>
      <w:r>
        <w:rPr>
          <w:rFonts w:hint="default" w:ascii="Times New Roman" w:hAnsi="Times New Roman" w:eastAsia="仿宋_GB2312" w:cs="Times New Roman"/>
          <w:color w:val="auto"/>
          <w:kern w:val="2"/>
          <w:sz w:val="32"/>
          <w:szCs w:val="32"/>
          <w:highlight w:val="none"/>
          <w:lang w:eastAsia="zh-CN"/>
        </w:rPr>
        <w:t>，战略性新兴产业</w:t>
      </w:r>
      <w:r>
        <w:rPr>
          <w:rFonts w:hint="default" w:ascii="Times New Roman" w:hAnsi="Times New Roman" w:eastAsia="仿宋_GB2312" w:cs="Times New Roman"/>
          <w:color w:val="auto"/>
          <w:kern w:val="2"/>
          <w:sz w:val="32"/>
          <w:szCs w:val="32"/>
          <w:highlight w:val="none"/>
        </w:rPr>
        <w:t>发展虽有提升</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但整体产业层次较低。</w:t>
      </w:r>
      <w:r>
        <w:rPr>
          <w:rFonts w:hint="default" w:ascii="Times New Roman" w:hAnsi="Times New Roman" w:eastAsia="仿宋_GB2312" w:cs="Times New Roman"/>
          <w:color w:val="auto"/>
          <w:kern w:val="2"/>
          <w:sz w:val="32"/>
          <w:szCs w:val="32"/>
          <w:highlight w:val="none"/>
          <w:lang w:val="en-US" w:eastAsia="zh-CN"/>
        </w:rPr>
        <w:t>全市</w:t>
      </w:r>
      <w:r>
        <w:rPr>
          <w:rFonts w:hint="default" w:ascii="Times New Roman" w:hAnsi="Times New Roman" w:eastAsia="仿宋_GB2312" w:cs="Times New Roman"/>
          <w:color w:val="auto"/>
          <w:kern w:val="0"/>
          <w:sz w:val="32"/>
          <w:szCs w:val="32"/>
          <w:highlight w:val="none"/>
          <w:lang w:val="en-US" w:eastAsia="zh-CN"/>
        </w:rPr>
        <w:t>能源结构仍以煤为主，</w:t>
      </w:r>
      <w:r>
        <w:rPr>
          <w:rFonts w:hint="default" w:ascii="Times New Roman" w:hAnsi="Times New Roman" w:eastAsia="仿宋_GB2312" w:cs="Times New Roman"/>
          <w:color w:val="auto"/>
          <w:kern w:val="2"/>
          <w:sz w:val="32"/>
          <w:szCs w:val="32"/>
          <w:highlight w:val="none"/>
        </w:rPr>
        <w:t>煤炭消费比重过大</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清洁能源占比较低</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rPr>
        <w:t>特别是在冬季采暖期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燃煤污染问题较为突出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而</w:t>
      </w:r>
      <w:r>
        <w:rPr>
          <w:rFonts w:hint="default" w:ascii="Times New Roman" w:hAnsi="Times New Roman" w:eastAsia="仿宋_GB2312" w:cs="Times New Roman"/>
          <w:color w:val="auto"/>
          <w:sz w:val="32"/>
          <w:szCs w:val="32"/>
          <w:highlight w:val="none"/>
          <w:lang w:eastAsia="zh-CN"/>
        </w:rPr>
        <w:t>交通结构的压力主要体现在运输方式单一，主要依赖公路运输，铁路枢纽功能未充分发挥。市内</w:t>
      </w:r>
      <w:r>
        <w:rPr>
          <w:rFonts w:hint="default" w:ascii="Times New Roman" w:hAnsi="Times New Roman" w:eastAsia="仿宋_GB2312" w:cs="Times New Roman"/>
          <w:color w:val="auto"/>
          <w:sz w:val="32"/>
          <w:szCs w:val="32"/>
          <w:highlight w:val="none"/>
          <w:lang w:val="en-US" w:eastAsia="zh-CN"/>
        </w:rPr>
        <w:t>公共</w:t>
      </w:r>
      <w:r>
        <w:rPr>
          <w:rFonts w:hint="default" w:ascii="Times New Roman" w:hAnsi="Times New Roman" w:eastAsia="仿宋_GB2312" w:cs="Times New Roman"/>
          <w:color w:val="auto"/>
          <w:sz w:val="32"/>
          <w:szCs w:val="32"/>
          <w:highlight w:val="none"/>
          <w:lang w:eastAsia="zh-CN"/>
        </w:rPr>
        <w:t>交通、</w:t>
      </w:r>
      <w:r>
        <w:rPr>
          <w:rFonts w:hint="default" w:ascii="Times New Roman" w:hAnsi="Times New Roman" w:eastAsia="仿宋_GB2312" w:cs="Times New Roman"/>
          <w:color w:val="auto"/>
          <w:sz w:val="32"/>
          <w:szCs w:val="32"/>
          <w:highlight w:val="none"/>
          <w:lang w:val="en-US" w:eastAsia="zh-CN"/>
        </w:rPr>
        <w:t>物流配送、非道路移动机械等移动源清洁比例有待提高。这些结构性问题尚未得到彻底扭转，仅靠工业源减排，难以支撑环境空气质量持续改善。</w:t>
      </w:r>
    </w:p>
    <w:p w14:paraId="089CF1E5">
      <w:pPr>
        <w:tabs>
          <w:tab w:val="left" w:pos="3336"/>
        </w:tabs>
        <w:adjustRightInd w:val="0"/>
        <w:snapToGrid w:val="0"/>
        <w:spacing w:line="620" w:lineRule="exact"/>
        <w:ind w:firstLine="640" w:firstLineChars="200"/>
        <w:outlineLvl w:val="2"/>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kern w:val="0"/>
          <w:sz w:val="32"/>
          <w:szCs w:val="32"/>
          <w:highlight w:val="none"/>
        </w:rPr>
        <w:t>污染治理</w:t>
      </w:r>
      <w:r>
        <w:rPr>
          <w:rFonts w:hint="default" w:ascii="Times New Roman" w:hAnsi="Times New Roman" w:eastAsia="仿宋_GB2312" w:cs="Times New Roman"/>
          <w:b w:val="0"/>
          <w:bCs w:val="0"/>
          <w:color w:val="auto"/>
          <w:kern w:val="0"/>
          <w:sz w:val="32"/>
          <w:szCs w:val="32"/>
          <w:highlight w:val="none"/>
          <w:lang w:val="en-US" w:eastAsia="zh-CN"/>
        </w:rPr>
        <w:t>挑战重重，工业源减排空间收窄</w:t>
      </w:r>
    </w:p>
    <w:p w14:paraId="1744DA90">
      <w:pPr>
        <w:pStyle w:val="15"/>
        <w:adjustRightInd w:val="0"/>
        <w:snapToGrid w:val="0"/>
        <w:spacing w:line="620" w:lineRule="exact"/>
        <w:ind w:firstLine="640" w:firstLineChars="200"/>
        <w:jc w:val="both"/>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w:t>
      </w:r>
      <w:r>
        <w:rPr>
          <w:rFonts w:hint="default" w:ascii="Times New Roman" w:hAnsi="Times New Roman" w:eastAsia="仿宋_GB2312" w:cs="Times New Roman"/>
          <w:color w:val="auto"/>
          <w:sz w:val="32"/>
          <w:szCs w:val="32"/>
          <w:highlight w:val="none"/>
          <w:lang w:val="en-US" w:eastAsia="zh-CN"/>
        </w:rPr>
        <w:t>整体治理形势</w:t>
      </w:r>
      <w:r>
        <w:rPr>
          <w:rFonts w:hint="default" w:ascii="Times New Roman" w:hAnsi="Times New Roman" w:eastAsia="仿宋_GB2312" w:cs="Times New Roman"/>
          <w:color w:val="auto"/>
          <w:sz w:val="32"/>
          <w:szCs w:val="32"/>
          <w:highlight w:val="none"/>
        </w:rPr>
        <w:t>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衡水市</w:t>
      </w:r>
      <w:r>
        <w:rPr>
          <w:rFonts w:hint="default" w:ascii="Times New Roman" w:hAnsi="Times New Roman" w:eastAsia="仿宋_GB2312" w:cs="Times New Roman"/>
          <w:color w:val="auto"/>
          <w:sz w:val="32"/>
          <w:szCs w:val="32"/>
          <w:highlight w:val="none"/>
        </w:rPr>
        <w:t>工业源减排空间收窄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挥发性有机物减排手段相对欠缺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大气污染治理和监管难度加大。</w:t>
      </w:r>
      <w:r>
        <w:rPr>
          <w:rFonts w:hint="default" w:ascii="Times New Roman" w:hAnsi="Times New Roman" w:eastAsia="仿宋_GB2312" w:cs="Times New Roman"/>
          <w:color w:val="auto"/>
          <w:sz w:val="32"/>
          <w:szCs w:val="32"/>
          <w:highlight w:val="none"/>
          <w:lang w:val="en-US" w:eastAsia="zh-CN"/>
        </w:rPr>
        <w:t>大气污染物和温室气体融合</w:t>
      </w:r>
      <w:r>
        <w:rPr>
          <w:rFonts w:hint="default" w:ascii="Times New Roman" w:hAnsi="Times New Roman" w:eastAsia="仿宋_GB2312" w:cs="Times New Roman"/>
          <w:color w:val="auto"/>
          <w:sz w:val="32"/>
          <w:szCs w:val="32"/>
          <w:highlight w:val="none"/>
        </w:rPr>
        <w:t>清单、</w:t>
      </w:r>
      <w:r>
        <w:rPr>
          <w:rFonts w:ascii="Times New Roman" w:hAnsi="Times New Roman" w:eastAsia="仿宋_GB2312" w:cs="Times New Roman"/>
          <w:color w:val="auto"/>
          <w:sz w:val="32"/>
          <w:szCs w:val="32"/>
          <w:highlight w:val="none"/>
        </w:rPr>
        <w:t>PM</w:t>
      </w:r>
      <w:r>
        <w:rPr>
          <w:rFonts w:ascii="Times New Roman" w:hAnsi="Times New Roman" w:eastAsia="仿宋_GB2312" w:cs="Times New Roman"/>
          <w:color w:val="auto"/>
          <w:sz w:val="32"/>
          <w:szCs w:val="32"/>
          <w:highlight w:val="none"/>
          <w:vertAlign w:val="subscript"/>
        </w:rPr>
        <w:t>2.5</w:t>
      </w:r>
      <w:r>
        <w:rPr>
          <w:rFonts w:hint="default" w:ascii="Times New Roman" w:hAnsi="Times New Roman" w:eastAsia="仿宋_GB2312" w:cs="Times New Roman"/>
          <w:color w:val="auto"/>
          <w:sz w:val="32"/>
          <w:szCs w:val="32"/>
          <w:highlight w:val="none"/>
        </w:rPr>
        <w:t>源解析、环境空气质量监测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网格化监管</w:t>
      </w:r>
      <w:r>
        <w:rPr>
          <w:rFonts w:hint="default" w:ascii="Times New Roman" w:hAnsi="Times New Roman" w:eastAsia="仿宋_GB2312" w:cs="Times New Roman"/>
          <w:color w:val="auto"/>
          <w:sz w:val="32"/>
          <w:szCs w:val="32"/>
          <w:highlight w:val="none"/>
        </w:rPr>
        <w:t>等大气防治基础工作仍需加强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重污染天气预测、预报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污染防控措施的精细化、科学化水平仍需提高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大气污染防治工作</w:t>
      </w:r>
      <w:r>
        <w:rPr>
          <w:rFonts w:hint="default" w:ascii="Times New Roman" w:hAnsi="Times New Roman" w:eastAsia="仿宋_GB2312" w:cs="Times New Roman"/>
          <w:color w:val="auto"/>
          <w:sz w:val="32"/>
          <w:szCs w:val="32"/>
          <w:highlight w:val="none"/>
          <w:lang w:val="en-US" w:eastAsia="zh-CN"/>
        </w:rPr>
        <w:t>仍面临</w:t>
      </w:r>
      <w:r>
        <w:rPr>
          <w:rFonts w:hint="default" w:ascii="Times New Roman" w:hAnsi="Times New Roman" w:eastAsia="仿宋_GB2312" w:cs="Times New Roman"/>
          <w:color w:val="auto"/>
          <w:sz w:val="32"/>
          <w:szCs w:val="32"/>
          <w:highlight w:val="none"/>
        </w:rPr>
        <w:t>重大挑战。</w:t>
      </w:r>
    </w:p>
    <w:p w14:paraId="6C857AFF">
      <w:pPr>
        <w:pStyle w:val="2"/>
        <w:keepNext w:val="0"/>
        <w:keepLines w:val="0"/>
        <w:spacing w:before="0" w:after="0" w:line="620" w:lineRule="exact"/>
        <w:ind w:firstLine="640" w:firstLineChars="200"/>
        <w:rPr>
          <w:rStyle w:val="14"/>
          <w:rFonts w:hint="default" w:ascii="Times New Roman" w:hAnsi="Times New Roman" w:eastAsia="黑体" w:cs="Times New Roman"/>
          <w:b w:val="0"/>
          <w:bCs w:val="0"/>
          <w:color w:val="auto"/>
          <w:sz w:val="32"/>
          <w:szCs w:val="32"/>
          <w:u w:val="none"/>
          <w:lang w:val="en-US" w:eastAsia="zh-CN"/>
        </w:rPr>
      </w:pPr>
      <w:bookmarkStart w:id="10" w:name="_Toc913"/>
      <w:bookmarkStart w:id="11" w:name="_Toc28042"/>
      <w:r>
        <w:rPr>
          <w:rStyle w:val="14"/>
          <w:rFonts w:hint="default" w:ascii="Times New Roman" w:hAnsi="Times New Roman" w:cs="Times New Roman"/>
          <w:b w:val="0"/>
          <w:bCs w:val="0"/>
          <w:color w:val="auto"/>
          <w:sz w:val="32"/>
          <w:szCs w:val="32"/>
          <w:u w:val="none"/>
        </w:rPr>
        <w:t>二、</w:t>
      </w:r>
      <w:r>
        <w:rPr>
          <w:rStyle w:val="14"/>
          <w:rFonts w:hint="default" w:ascii="Times New Roman" w:hAnsi="Times New Roman" w:cs="Times New Roman"/>
          <w:b w:val="0"/>
          <w:bCs w:val="0"/>
          <w:color w:val="auto"/>
          <w:sz w:val="32"/>
          <w:szCs w:val="32"/>
          <w:u w:val="none"/>
          <w:lang w:val="en-US" w:eastAsia="zh-CN"/>
        </w:rPr>
        <w:t>规划总则和目标</w:t>
      </w:r>
      <w:bookmarkEnd w:id="10"/>
      <w:bookmarkEnd w:id="11"/>
    </w:p>
    <w:p w14:paraId="6D518215">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12" w:name="_Toc16327"/>
      <w:bookmarkStart w:id="13" w:name="_Toc20134"/>
      <w:r>
        <w:rPr>
          <w:rFonts w:hint="default" w:ascii="Times New Roman" w:hAnsi="Times New Roman" w:eastAsia="楷体_GB2312" w:cs="Times New Roman"/>
          <w:b w:val="0"/>
          <w:bCs w:val="0"/>
          <w:color w:val="auto"/>
        </w:rPr>
        <w:t>（一）指导思想</w:t>
      </w:r>
      <w:bookmarkEnd w:id="12"/>
      <w:bookmarkEnd w:id="13"/>
    </w:p>
    <w:p w14:paraId="20EB2F5C">
      <w:pPr>
        <w:adjustRightInd w:val="0"/>
        <w:snapToGrid w:val="0"/>
        <w:spacing w:line="620" w:lineRule="exact"/>
        <w:ind w:firstLine="640"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以习近平新时代中国特色社会主义思想为指导</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认真贯彻落实党的二十大精神</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以实现空气质量稳定达标为主要目标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锚定PM</w:t>
      </w:r>
      <w:r>
        <w:rPr>
          <w:rFonts w:hint="default" w:ascii="Times New Roman" w:hAnsi="Times New Roman" w:eastAsia="仿宋_GB2312" w:cs="Times New Roman"/>
          <w:color w:val="auto"/>
          <w:kern w:val="0"/>
          <w:sz w:val="32"/>
          <w:szCs w:val="32"/>
          <w:vertAlign w:val="subscript"/>
        </w:rPr>
        <w:t>2.5</w:t>
      </w:r>
      <w:r>
        <w:rPr>
          <w:rFonts w:hint="default" w:ascii="Times New Roman" w:hAnsi="Times New Roman" w:eastAsia="仿宋_GB2312" w:cs="Times New Roman"/>
          <w:color w:val="auto"/>
          <w:kern w:val="0"/>
          <w:sz w:val="32"/>
          <w:szCs w:val="32"/>
        </w:rPr>
        <w:t>和O</w:t>
      </w:r>
      <w:r>
        <w:rPr>
          <w:rFonts w:hint="default" w:ascii="Times New Roman" w:hAnsi="Times New Roman" w:eastAsia="仿宋_GB2312" w:cs="Times New Roman"/>
          <w:color w:val="auto"/>
          <w:kern w:val="0"/>
          <w:sz w:val="32"/>
          <w:szCs w:val="32"/>
          <w:vertAlign w:val="subscript"/>
        </w:rPr>
        <w:t>3</w:t>
      </w:r>
      <w:r>
        <w:rPr>
          <w:rFonts w:hint="default" w:ascii="Times New Roman" w:hAnsi="Times New Roman" w:eastAsia="仿宋_GB2312" w:cs="Times New Roman"/>
          <w:color w:val="auto"/>
          <w:kern w:val="0"/>
          <w:sz w:val="32"/>
          <w:szCs w:val="32"/>
        </w:rPr>
        <w:t>大气污染问题</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强化结构调整，加强</w:t>
      </w:r>
      <w:r>
        <w:rPr>
          <w:rFonts w:hint="default" w:ascii="Times New Roman" w:hAnsi="Times New Roman" w:eastAsia="仿宋_GB2312" w:cs="Times New Roman"/>
          <w:color w:val="auto"/>
          <w:kern w:val="0"/>
          <w:sz w:val="32"/>
          <w:szCs w:val="32"/>
        </w:rPr>
        <w:t>移动源、工业源、</w:t>
      </w:r>
      <w:r>
        <w:rPr>
          <w:rFonts w:hint="default" w:ascii="Times New Roman" w:hAnsi="Times New Roman" w:eastAsia="仿宋_GB2312" w:cs="Times New Roman"/>
          <w:color w:val="auto"/>
          <w:kern w:val="0"/>
          <w:sz w:val="32"/>
          <w:szCs w:val="32"/>
          <w:lang w:val="en-US" w:eastAsia="zh-CN"/>
        </w:rPr>
        <w:t>面</w:t>
      </w:r>
      <w:r>
        <w:rPr>
          <w:rFonts w:hint="default" w:ascii="Times New Roman" w:hAnsi="Times New Roman" w:eastAsia="仿宋_GB2312" w:cs="Times New Roman"/>
          <w:color w:val="auto"/>
          <w:kern w:val="0"/>
          <w:sz w:val="32"/>
          <w:szCs w:val="32"/>
        </w:rPr>
        <w:t>源精细化治理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全面</w:t>
      </w:r>
      <w:r>
        <w:rPr>
          <w:rFonts w:hint="default" w:ascii="Times New Roman" w:hAnsi="Times New Roman" w:eastAsia="仿宋_GB2312" w:cs="Times New Roman"/>
          <w:color w:val="auto"/>
          <w:kern w:val="0"/>
          <w:sz w:val="32"/>
          <w:szCs w:val="32"/>
          <w:lang w:val="en-US" w:eastAsia="zh-CN"/>
        </w:rPr>
        <w:t>推进</w:t>
      </w:r>
      <w:r>
        <w:rPr>
          <w:rFonts w:hint="default" w:ascii="Times New Roman" w:hAnsi="Times New Roman" w:eastAsia="仿宋_GB2312" w:cs="Times New Roman"/>
          <w:color w:val="auto"/>
          <w:kern w:val="0"/>
          <w:sz w:val="32"/>
          <w:szCs w:val="32"/>
        </w:rPr>
        <w:t>多污染物协同控制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完善大气环境管理体系</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以高水平生态环境保护助力经济社会高质量发展。</w:t>
      </w:r>
    </w:p>
    <w:p w14:paraId="088BE0F5">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14" w:name="_Toc6021"/>
      <w:bookmarkStart w:id="15" w:name="_Toc11756"/>
      <w:r>
        <w:rPr>
          <w:rFonts w:hint="default" w:ascii="Times New Roman" w:hAnsi="Times New Roman" w:eastAsia="楷体_GB2312" w:cs="Times New Roman"/>
          <w:b w:val="0"/>
          <w:bCs w:val="0"/>
          <w:color w:val="auto"/>
        </w:rPr>
        <w:t>（二）规划原则</w:t>
      </w:r>
      <w:bookmarkEnd w:id="14"/>
      <w:bookmarkEnd w:id="15"/>
    </w:p>
    <w:p w14:paraId="6F0CE3EA">
      <w:pPr>
        <w:adjustRightInd w:val="0"/>
        <w:snapToGrid w:val="0"/>
        <w:spacing w:line="620" w:lineRule="exact"/>
        <w:ind w:firstLine="640" w:firstLineChars="200"/>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生态优先，绿色发展</w:t>
      </w:r>
      <w:r>
        <w:rPr>
          <w:rFonts w:hint="default" w:ascii="Times New Roman" w:hAnsi="Times New Roman" w:eastAsia="仿宋_GB2312" w:cs="Times New Roman"/>
          <w:b w:val="0"/>
          <w:bCs w:val="0"/>
          <w:color w:val="auto"/>
          <w:kern w:val="0"/>
          <w:sz w:val="32"/>
          <w:szCs w:val="32"/>
        </w:rPr>
        <w:t>。牢固树立</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绿水青山就是金山银山</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的发展理念</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持续调整优化产业、能源、交通运输结构，深入实施工业污染治理，从注重末端治理向更加注重源头预防和全过程治理、管控转变，着力提升工业、运输等领域清洁低碳水平。</w:t>
      </w:r>
    </w:p>
    <w:p w14:paraId="1438A3A7">
      <w:pPr>
        <w:adjustRightInd w:val="0"/>
        <w:snapToGrid w:val="0"/>
        <w:spacing w:line="62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val="en-US" w:eastAsia="zh-CN"/>
        </w:rPr>
        <w:t>系统观念、协同增效。突出综合治理、系统治理、源头治理，统筹大气污染防治和温室气体减排，促进减污降碳协同增效；聚焦PM</w:t>
      </w:r>
      <w:r>
        <w:rPr>
          <w:rFonts w:hint="default" w:ascii="Times New Roman" w:hAnsi="Times New Roman" w:eastAsia="仿宋_GB2312" w:cs="Times New Roman"/>
          <w:b w:val="0"/>
          <w:bCs w:val="0"/>
          <w:color w:val="auto"/>
          <w:kern w:val="0"/>
          <w:sz w:val="32"/>
          <w:szCs w:val="32"/>
          <w:vertAlign w:val="subscript"/>
          <w:lang w:val="en-US" w:eastAsia="zh-CN"/>
        </w:rPr>
        <w:t>2.5</w:t>
      </w:r>
      <w:r>
        <w:rPr>
          <w:rFonts w:hint="default" w:ascii="Times New Roman" w:hAnsi="Times New Roman" w:eastAsia="仿宋_GB2312" w:cs="Times New Roman"/>
          <w:b w:val="0"/>
          <w:bCs w:val="0"/>
          <w:color w:val="auto"/>
          <w:kern w:val="0"/>
          <w:sz w:val="32"/>
          <w:szCs w:val="32"/>
          <w:lang w:val="en-US" w:eastAsia="zh-CN"/>
        </w:rPr>
        <w:t xml:space="preserve">和臭氧协同控制，强化多污染物协同减排，加强区域联防联控，全面提升城市大气污染精细化管理水平。 </w:t>
      </w:r>
    </w:p>
    <w:p w14:paraId="646EDD40">
      <w:pPr>
        <w:adjustRightInd w:val="0"/>
        <w:snapToGrid w:val="0"/>
        <w:spacing w:line="620"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依法推进、长效治污</w:t>
      </w:r>
      <w:r>
        <w:rPr>
          <w:rFonts w:hint="default" w:ascii="Times New Roman" w:hAnsi="Times New Roman" w:eastAsia="仿宋_GB2312" w:cs="Times New Roman"/>
          <w:b w:val="0"/>
          <w:bCs w:val="0"/>
          <w:color w:val="auto"/>
          <w:kern w:val="0"/>
          <w:sz w:val="32"/>
          <w:szCs w:val="32"/>
          <w:lang w:eastAsia="zh-CN"/>
        </w:rPr>
        <w:t>。坚持激励和约束并举，</w:t>
      </w:r>
      <w:r>
        <w:rPr>
          <w:rFonts w:hint="default" w:ascii="Times New Roman" w:hAnsi="Times New Roman" w:eastAsia="仿宋_GB2312" w:cs="Times New Roman"/>
          <w:b w:val="0"/>
          <w:bCs w:val="0"/>
          <w:color w:val="auto"/>
          <w:kern w:val="0"/>
          <w:sz w:val="32"/>
          <w:szCs w:val="32"/>
          <w:lang w:val="en-US" w:eastAsia="zh-CN"/>
        </w:rPr>
        <w:t>以排污许可制度为核心，建立督促和引导企业深化治理的长效机制。</w:t>
      </w:r>
      <w:r>
        <w:rPr>
          <w:rFonts w:hint="default" w:ascii="Times New Roman" w:hAnsi="Times New Roman" w:eastAsia="仿宋_GB2312" w:cs="Times New Roman"/>
          <w:b w:val="0"/>
          <w:bCs w:val="0"/>
          <w:color w:val="auto"/>
          <w:kern w:val="0"/>
          <w:sz w:val="32"/>
          <w:szCs w:val="32"/>
        </w:rPr>
        <w:t>依法推进工业企业全面达标</w:t>
      </w:r>
      <w:r>
        <w:rPr>
          <w:rFonts w:hint="default" w:ascii="Times New Roman" w:hAnsi="Times New Roman" w:eastAsia="仿宋_GB2312" w:cs="Times New Roman"/>
          <w:b w:val="0"/>
          <w:bCs w:val="0"/>
          <w:color w:val="auto"/>
          <w:kern w:val="0"/>
          <w:sz w:val="32"/>
          <w:szCs w:val="32"/>
          <w:lang w:val="en-US" w:eastAsia="zh-CN"/>
        </w:rPr>
        <w:t>及提标改造</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按照“源头严防、过程严管、后果严惩”的要求切实</w:t>
      </w:r>
      <w:r>
        <w:rPr>
          <w:rFonts w:hint="default" w:ascii="Times New Roman" w:hAnsi="Times New Roman" w:eastAsia="仿宋_GB2312" w:cs="Times New Roman"/>
          <w:b w:val="0"/>
          <w:bCs w:val="0"/>
          <w:color w:val="auto"/>
          <w:kern w:val="0"/>
          <w:sz w:val="32"/>
          <w:szCs w:val="32"/>
          <w:lang w:eastAsia="zh-CN"/>
        </w:rPr>
        <w:t>加大</w:t>
      </w:r>
      <w:r>
        <w:rPr>
          <w:rFonts w:hint="default" w:ascii="Times New Roman" w:hAnsi="Times New Roman" w:eastAsia="仿宋_GB2312" w:cs="Times New Roman"/>
          <w:b w:val="0"/>
          <w:bCs w:val="0"/>
          <w:color w:val="auto"/>
          <w:kern w:val="0"/>
          <w:sz w:val="32"/>
          <w:szCs w:val="32"/>
        </w:rPr>
        <w:t>执法监管力度</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严厉打击环境违法行为。</w:t>
      </w:r>
    </w:p>
    <w:p w14:paraId="3EC52679">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color w:val="auto"/>
          <w:kern w:val="0"/>
          <w:sz w:val="32"/>
          <w:szCs w:val="32"/>
        </w:rPr>
        <w:t>创新引领</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多元共治。加快构建以党委领导、政府主导</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企业为主体和公众共同参与</w:t>
      </w:r>
      <w:r>
        <w:rPr>
          <w:rFonts w:hint="default" w:ascii="Times New Roman" w:hAnsi="Times New Roman" w:eastAsia="仿宋_GB2312" w:cs="Times New Roman"/>
          <w:b w:val="0"/>
          <w:bCs w:val="0"/>
          <w:color w:val="auto"/>
          <w:kern w:val="0"/>
          <w:sz w:val="32"/>
          <w:szCs w:val="32"/>
          <w:lang w:eastAsia="zh-CN"/>
        </w:rPr>
        <w:t>的</w:t>
      </w:r>
      <w:r>
        <w:rPr>
          <w:rFonts w:hint="default" w:ascii="Times New Roman" w:hAnsi="Times New Roman" w:eastAsia="仿宋_GB2312" w:cs="Times New Roman"/>
          <w:b w:val="0"/>
          <w:bCs w:val="0"/>
          <w:color w:val="auto"/>
          <w:kern w:val="0"/>
          <w:sz w:val="32"/>
          <w:szCs w:val="32"/>
        </w:rPr>
        <w:t>现代环境治理体系</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深化制度建设</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完善监测体系</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提升执法效能</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强化科技支撑</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全面提升生态环境治理现代化水平。</w:t>
      </w:r>
    </w:p>
    <w:p w14:paraId="19807829">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16" w:name="_Toc19231"/>
      <w:bookmarkStart w:id="17" w:name="_Toc7486"/>
      <w:r>
        <w:rPr>
          <w:rFonts w:hint="default" w:ascii="Times New Roman" w:hAnsi="Times New Roman" w:eastAsia="楷体_GB2312" w:cs="Times New Roman"/>
          <w:b w:val="0"/>
          <w:bCs w:val="0"/>
          <w:color w:val="auto"/>
        </w:rPr>
        <w:t>（三）规划范围</w:t>
      </w:r>
      <w:bookmarkEnd w:id="16"/>
      <w:bookmarkEnd w:id="17"/>
    </w:p>
    <w:p w14:paraId="5A975544">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规划范围为衡水市行政区域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包括桃城区、冀州区、枣强县、武邑县、深州市、武强县、饶阳县、安平县、故城县、景县、阜城县</w:t>
      </w:r>
      <w:r>
        <w:rPr>
          <w:rFonts w:ascii="Times New Roman" w:hAnsi="Times New Roman" w:eastAsia="仿宋_GB2312" w:cs="Times New Roman"/>
          <w:color w:val="auto"/>
          <w:kern w:val="0"/>
          <w:sz w:val="32"/>
          <w:szCs w:val="32"/>
        </w:rPr>
        <w:t>11</w:t>
      </w:r>
      <w:r>
        <w:rPr>
          <w:rFonts w:hint="default" w:ascii="Times New Roman" w:hAnsi="Times New Roman" w:eastAsia="仿宋_GB2312" w:cs="Times New Roman"/>
          <w:color w:val="auto"/>
          <w:kern w:val="0"/>
          <w:sz w:val="32"/>
          <w:szCs w:val="32"/>
        </w:rPr>
        <w:t>个县（市、区）以及衡水高新区和滨湖新区。</w:t>
      </w:r>
    </w:p>
    <w:p w14:paraId="5D67607B">
      <w:pPr>
        <w:pStyle w:val="3"/>
        <w:keepNext w:val="0"/>
        <w:keepLines w:val="0"/>
        <w:adjustRightInd w:val="0"/>
        <w:snapToGrid w:val="0"/>
        <w:spacing w:line="620" w:lineRule="exact"/>
        <w:ind w:firstLine="640"/>
        <w:rPr>
          <w:rFonts w:hint="default" w:ascii="Times New Roman" w:hAnsi="Times New Roman" w:eastAsia="楷体_GB2312" w:cs="Times New Roman"/>
          <w:b w:val="0"/>
          <w:bCs w:val="0"/>
          <w:color w:val="auto"/>
          <w:kern w:val="2"/>
          <w:sz w:val="32"/>
          <w:szCs w:val="32"/>
        </w:rPr>
      </w:pPr>
      <w:bookmarkStart w:id="18" w:name="_Toc19778"/>
      <w:bookmarkStart w:id="19" w:name="_Toc31691"/>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lang w:val="en-US" w:eastAsia="zh-CN"/>
        </w:rPr>
        <w:t>四</w:t>
      </w:r>
      <w:r>
        <w:rPr>
          <w:rFonts w:hint="default" w:ascii="Times New Roman" w:hAnsi="Times New Roman" w:eastAsia="楷体_GB2312" w:cs="Times New Roman"/>
          <w:b w:val="0"/>
          <w:bCs w:val="0"/>
          <w:color w:val="auto"/>
          <w:kern w:val="2"/>
          <w:sz w:val="32"/>
          <w:szCs w:val="32"/>
          <w:lang w:eastAsia="zh-CN"/>
        </w:rPr>
        <w:t>）</w:t>
      </w:r>
      <w:r>
        <w:rPr>
          <w:rFonts w:hint="default" w:ascii="Times New Roman" w:hAnsi="Times New Roman" w:eastAsia="楷体_GB2312" w:cs="Times New Roman"/>
          <w:b w:val="0"/>
          <w:bCs w:val="0"/>
          <w:color w:val="auto"/>
          <w:kern w:val="2"/>
          <w:sz w:val="32"/>
          <w:szCs w:val="32"/>
          <w:lang w:val="en-US" w:eastAsia="zh-CN"/>
        </w:rPr>
        <w:t>规划期限</w:t>
      </w:r>
      <w:bookmarkEnd w:id="18"/>
      <w:bookmarkEnd w:id="19"/>
    </w:p>
    <w:p w14:paraId="07AAF41A">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规划基准年为</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计划</w:t>
      </w:r>
      <w:r>
        <w:rPr>
          <w:rFonts w:hint="default" w:ascii="Times New Roman" w:hAnsi="Times New Roman" w:eastAsia="仿宋_GB2312" w:cs="Times New Roman"/>
          <w:color w:val="auto"/>
          <w:kern w:val="0"/>
          <w:sz w:val="32"/>
          <w:szCs w:val="32"/>
        </w:rPr>
        <w:t>到</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年环境空气质量实现达标。规划期分为</w:t>
      </w:r>
      <w:r>
        <w:rPr>
          <w:rFonts w:hint="eastAsia"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个阶段：近期（</w:t>
      </w:r>
      <w:r>
        <w:rPr>
          <w:rFonts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2028</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中期（2029—2030年）</w:t>
      </w:r>
      <w:r>
        <w:rPr>
          <w:rFonts w:hint="default" w:ascii="Times New Roman" w:hAnsi="Times New Roman" w:eastAsia="仿宋_GB2312" w:cs="Times New Roman"/>
          <w:color w:val="auto"/>
          <w:kern w:val="0"/>
          <w:sz w:val="32"/>
          <w:szCs w:val="32"/>
        </w:rPr>
        <w:t>远期（</w:t>
      </w:r>
      <w:r>
        <w:rPr>
          <w:rFonts w:hint="default"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lang w:val="en-US" w:eastAsia="zh-CN"/>
        </w:rPr>
        <w:t>31—</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年）。</w:t>
      </w:r>
    </w:p>
    <w:p w14:paraId="67221A3D">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20" w:name="_Toc18354"/>
      <w:bookmarkStart w:id="21" w:name="_Toc7880"/>
      <w:r>
        <w:rPr>
          <w:rFonts w:hint="default" w:ascii="Times New Roman" w:hAnsi="Times New Roman" w:eastAsia="楷体_GB2312" w:cs="Times New Roman"/>
          <w:b w:val="0"/>
          <w:bCs w:val="0"/>
          <w:color w:val="auto"/>
        </w:rPr>
        <w:t>（</w:t>
      </w:r>
      <w:r>
        <w:rPr>
          <w:rFonts w:hint="default" w:ascii="Times New Roman" w:hAnsi="Times New Roman" w:eastAsia="楷体_GB2312" w:cs="Times New Roman"/>
          <w:b w:val="0"/>
          <w:bCs w:val="0"/>
          <w:color w:val="auto"/>
          <w:lang w:val="en-US" w:eastAsia="zh-CN"/>
        </w:rPr>
        <w:t>五</w:t>
      </w:r>
      <w:r>
        <w:rPr>
          <w:rFonts w:hint="default" w:ascii="Times New Roman" w:hAnsi="Times New Roman" w:eastAsia="楷体_GB2312" w:cs="Times New Roman"/>
          <w:b w:val="0"/>
          <w:bCs w:val="0"/>
          <w:color w:val="auto"/>
        </w:rPr>
        <w:t>）</w:t>
      </w:r>
      <w:r>
        <w:rPr>
          <w:rFonts w:hint="default" w:ascii="Times New Roman" w:hAnsi="Times New Roman" w:eastAsia="楷体_GB2312" w:cs="Times New Roman"/>
          <w:b w:val="0"/>
          <w:bCs w:val="0"/>
          <w:color w:val="auto"/>
          <w:lang w:val="en-US" w:eastAsia="zh-CN"/>
        </w:rPr>
        <w:t>规划</w:t>
      </w:r>
      <w:r>
        <w:rPr>
          <w:rFonts w:hint="default" w:ascii="Times New Roman" w:hAnsi="Times New Roman" w:eastAsia="楷体_GB2312" w:cs="Times New Roman"/>
          <w:b w:val="0"/>
          <w:bCs w:val="0"/>
          <w:color w:val="auto"/>
        </w:rPr>
        <w:t>目标</w:t>
      </w:r>
      <w:bookmarkEnd w:id="20"/>
      <w:bookmarkEnd w:id="21"/>
    </w:p>
    <w:p w14:paraId="78E026FE">
      <w:pPr>
        <w:adjustRightInd w:val="0"/>
        <w:snapToGrid w:val="0"/>
        <w:spacing w:line="620" w:lineRule="exact"/>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到2028</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全市</w:t>
      </w:r>
      <w:r>
        <w:rPr>
          <w:rFonts w:ascii="Times New Roman" w:hAnsi="Times New Roman" w:eastAsia="仿宋_GB2312" w:cs="Times New Roman"/>
          <w:b w:val="0"/>
          <w:bCs w:val="0"/>
          <w:color w:val="auto"/>
          <w:kern w:val="0"/>
          <w:sz w:val="32"/>
          <w:szCs w:val="32"/>
        </w:rPr>
        <w:t>PM</w:t>
      </w:r>
      <w:r>
        <w:rPr>
          <w:rFonts w:ascii="Times New Roman" w:hAnsi="Times New Roman" w:eastAsia="仿宋_GB2312" w:cs="Times New Roman"/>
          <w:b w:val="0"/>
          <w:bCs w:val="0"/>
          <w:color w:val="auto"/>
          <w:kern w:val="0"/>
          <w:sz w:val="32"/>
          <w:szCs w:val="32"/>
          <w:vertAlign w:val="subscript"/>
        </w:rPr>
        <w:t>2.5</w:t>
      </w:r>
      <w:r>
        <w:rPr>
          <w:rFonts w:hint="default" w:ascii="Times New Roman" w:hAnsi="Times New Roman" w:eastAsia="仿宋_GB2312" w:cs="Times New Roman"/>
          <w:color w:val="auto"/>
          <w:kern w:val="0"/>
          <w:sz w:val="32"/>
          <w:szCs w:val="32"/>
          <w:vertAlign w:val="baseline"/>
          <w:lang w:val="en-US" w:eastAsia="zh-CN"/>
        </w:rPr>
        <w:t>年均</w:t>
      </w:r>
      <w:r>
        <w:rPr>
          <w:rFonts w:hint="default" w:ascii="Times New Roman" w:hAnsi="Times New Roman" w:eastAsia="仿宋_GB2312" w:cs="Times New Roman"/>
          <w:color w:val="auto"/>
          <w:kern w:val="0"/>
          <w:sz w:val="32"/>
          <w:szCs w:val="32"/>
        </w:rPr>
        <w:t>浓度</w:t>
      </w:r>
      <w:r>
        <w:rPr>
          <w:rFonts w:hint="eastAsia" w:ascii="Times New Roman" w:hAnsi="Times New Roman" w:eastAsia="仿宋_GB2312" w:cs="Times New Roman"/>
          <w:color w:val="auto"/>
          <w:kern w:val="0"/>
          <w:sz w:val="32"/>
          <w:szCs w:val="32"/>
          <w:lang w:val="en-US" w:eastAsia="zh-CN"/>
        </w:rPr>
        <w:t>不高于</w:t>
      </w:r>
      <w:r>
        <w:rPr>
          <w:rFonts w:hint="default" w:ascii="Times New Roman" w:hAnsi="Times New Roman" w:eastAsia="仿宋_GB2312" w:cs="Times New Roman"/>
          <w:color w:val="auto"/>
          <w:kern w:val="0"/>
          <w:sz w:val="32"/>
          <w:szCs w:val="32"/>
          <w:lang w:val="en-US" w:eastAsia="zh-CN"/>
        </w:rPr>
        <w:t>36</w:t>
      </w:r>
      <w:r>
        <w:rPr>
          <w:rFonts w:ascii="Times New Roman" w:hAnsi="Times New Roman" w:eastAsia="仿宋_GB2312" w:cs="Times New Roman"/>
          <w:color w:val="auto"/>
          <w:kern w:val="0"/>
          <w:sz w:val="32"/>
          <w:szCs w:val="32"/>
        </w:rPr>
        <w:t>μg/m</w:t>
      </w:r>
      <w:r>
        <w:rPr>
          <w:rFonts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vertAlign w:val="baseline"/>
          <w:lang w:eastAsia="zh-CN"/>
        </w:rPr>
        <w:t>，</w:t>
      </w:r>
      <w:r>
        <w:rPr>
          <w:rFonts w:hint="default" w:ascii="Times New Roman" w:hAnsi="Times New Roman" w:eastAsia="仿宋_GB2312" w:cs="Times New Roman"/>
          <w:color w:val="auto"/>
          <w:kern w:val="0"/>
          <w:sz w:val="32"/>
          <w:szCs w:val="32"/>
          <w:lang w:val="en-US" w:eastAsia="zh-CN"/>
        </w:rPr>
        <w:t>空气质量得到明显改善</w:t>
      </w:r>
      <w:r>
        <w:rPr>
          <w:rFonts w:hint="default" w:ascii="Times New Roman" w:hAnsi="Times New Roman" w:eastAsia="仿宋_GB2312" w:cs="Times New Roman"/>
          <w:color w:val="auto"/>
          <w:kern w:val="0"/>
          <w:sz w:val="32"/>
          <w:szCs w:val="32"/>
          <w:lang w:eastAsia="zh-CN"/>
        </w:rPr>
        <w:t>。</w:t>
      </w:r>
    </w:p>
    <w:p w14:paraId="12509110">
      <w:pPr>
        <w:adjustRightInd w:val="0"/>
        <w:snapToGrid w:val="0"/>
        <w:spacing w:line="620" w:lineRule="exact"/>
        <w:ind w:firstLine="640"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val="0"/>
          <w:bCs w:val="0"/>
          <w:color w:val="auto"/>
          <w:kern w:val="0"/>
          <w:sz w:val="32"/>
          <w:szCs w:val="32"/>
          <w:lang w:val="en-US" w:eastAsia="zh-CN"/>
        </w:rPr>
        <w:t>到20</w:t>
      </w:r>
      <w:r>
        <w:rPr>
          <w:rFonts w:hint="eastAsia" w:ascii="Times New Roman" w:hAnsi="Times New Roman" w:eastAsia="仿宋_GB2312" w:cs="Times New Roman"/>
          <w:b w:val="0"/>
          <w:bCs w:val="0"/>
          <w:color w:val="auto"/>
          <w:kern w:val="0"/>
          <w:sz w:val="32"/>
          <w:szCs w:val="32"/>
          <w:lang w:val="en-US" w:eastAsia="zh-CN"/>
        </w:rPr>
        <w:t>30</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全市</w:t>
      </w:r>
      <w:r>
        <w:rPr>
          <w:rFonts w:ascii="Times New Roman" w:hAnsi="Times New Roman" w:eastAsia="仿宋_GB2312" w:cs="Times New Roman"/>
          <w:b w:val="0"/>
          <w:bCs w:val="0"/>
          <w:color w:val="auto"/>
          <w:kern w:val="0"/>
          <w:sz w:val="32"/>
          <w:szCs w:val="32"/>
        </w:rPr>
        <w:t>PM</w:t>
      </w:r>
      <w:r>
        <w:rPr>
          <w:rFonts w:ascii="Times New Roman" w:hAnsi="Times New Roman" w:eastAsia="仿宋_GB2312" w:cs="Times New Roman"/>
          <w:b w:val="0"/>
          <w:bCs w:val="0"/>
          <w:color w:val="auto"/>
          <w:kern w:val="0"/>
          <w:sz w:val="32"/>
          <w:szCs w:val="32"/>
          <w:vertAlign w:val="subscript"/>
        </w:rPr>
        <w:t>2.5</w:t>
      </w:r>
      <w:r>
        <w:rPr>
          <w:rFonts w:hint="default" w:ascii="Times New Roman" w:hAnsi="Times New Roman" w:eastAsia="仿宋_GB2312" w:cs="Times New Roman"/>
          <w:color w:val="auto"/>
          <w:kern w:val="0"/>
          <w:sz w:val="32"/>
          <w:szCs w:val="32"/>
          <w:vertAlign w:val="baseline"/>
          <w:lang w:val="en-US" w:eastAsia="zh-CN"/>
        </w:rPr>
        <w:t>年均</w:t>
      </w:r>
      <w:r>
        <w:rPr>
          <w:rFonts w:hint="default" w:ascii="Times New Roman" w:hAnsi="Times New Roman" w:eastAsia="仿宋_GB2312" w:cs="Times New Roman"/>
          <w:color w:val="auto"/>
          <w:kern w:val="0"/>
          <w:sz w:val="32"/>
          <w:szCs w:val="32"/>
        </w:rPr>
        <w:t>浓度</w:t>
      </w:r>
      <w:r>
        <w:rPr>
          <w:rFonts w:hint="eastAsia" w:ascii="Times New Roman" w:hAnsi="Times New Roman" w:eastAsia="仿宋_GB2312" w:cs="Times New Roman"/>
          <w:color w:val="auto"/>
          <w:kern w:val="0"/>
          <w:sz w:val="32"/>
          <w:szCs w:val="32"/>
          <w:lang w:val="en-US" w:eastAsia="zh-CN"/>
        </w:rPr>
        <w:t>不高于</w:t>
      </w: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5</w:t>
      </w:r>
      <w:r>
        <w:rPr>
          <w:rFonts w:ascii="Times New Roman" w:hAnsi="Times New Roman" w:eastAsia="仿宋_GB2312" w:cs="Times New Roman"/>
          <w:color w:val="auto"/>
          <w:kern w:val="0"/>
          <w:sz w:val="32"/>
          <w:szCs w:val="32"/>
        </w:rPr>
        <w:t>μg/m</w:t>
      </w:r>
      <w:r>
        <w:rPr>
          <w:rFonts w:ascii="Times New Roman" w:hAnsi="Times New Roman" w:eastAsia="仿宋_GB2312" w:cs="Times New Roman"/>
          <w:color w:val="auto"/>
          <w:kern w:val="0"/>
          <w:sz w:val="32"/>
          <w:szCs w:val="32"/>
          <w:vertAlign w:val="superscript"/>
        </w:rPr>
        <w:t>3</w:t>
      </w:r>
      <w:r>
        <w:rPr>
          <w:rFonts w:hint="default" w:ascii="Times New Roman" w:hAnsi="Times New Roman" w:eastAsia="仿宋_GB2312" w:cs="Times New Roman"/>
          <w:color w:val="auto"/>
          <w:kern w:val="0"/>
          <w:sz w:val="32"/>
          <w:szCs w:val="32"/>
          <w:vertAlign w:val="baseline"/>
          <w:lang w:eastAsia="zh-CN"/>
        </w:rPr>
        <w:t>，</w:t>
      </w:r>
      <w:r>
        <w:rPr>
          <w:rFonts w:hint="default" w:ascii="Times New Roman" w:hAnsi="Times New Roman" w:eastAsia="仿宋_GB2312" w:cs="Times New Roman"/>
          <w:color w:val="auto"/>
          <w:kern w:val="0"/>
          <w:sz w:val="32"/>
          <w:szCs w:val="32"/>
          <w:lang w:val="en-US" w:eastAsia="zh-CN"/>
        </w:rPr>
        <w:t>空气质量得到明显改善</w:t>
      </w:r>
      <w:r>
        <w:rPr>
          <w:rFonts w:hint="default" w:ascii="Times New Roman" w:hAnsi="Times New Roman" w:eastAsia="仿宋_GB2312" w:cs="Times New Roman"/>
          <w:color w:val="auto"/>
          <w:kern w:val="0"/>
          <w:sz w:val="32"/>
          <w:szCs w:val="32"/>
          <w:lang w:eastAsia="zh-CN"/>
        </w:rPr>
        <w:t>。</w:t>
      </w:r>
    </w:p>
    <w:p w14:paraId="4D66C21B">
      <w:pPr>
        <w:adjustRightInd w:val="0"/>
        <w:snapToGrid w:val="0"/>
        <w:spacing w:line="620" w:lineRule="exact"/>
        <w:ind w:firstLine="616" w:firstLineChars="200"/>
        <w:jc w:val="lef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0"/>
          <w:sz w:val="32"/>
          <w:szCs w:val="32"/>
          <w:lang w:val="en-US" w:eastAsia="zh-CN"/>
        </w:rPr>
        <w:t>到</w:t>
      </w:r>
      <w:r>
        <w:rPr>
          <w:rFonts w:ascii="Times New Roman" w:hAnsi="Times New Roman" w:eastAsia="仿宋_GB2312" w:cs="Times New Roman"/>
          <w:b w:val="0"/>
          <w:bCs w:val="0"/>
          <w:color w:val="auto"/>
          <w:spacing w:val="-6"/>
          <w:kern w:val="0"/>
          <w:sz w:val="32"/>
          <w:szCs w:val="32"/>
        </w:rPr>
        <w:t>203</w:t>
      </w:r>
      <w:r>
        <w:rPr>
          <w:rFonts w:hint="default" w:ascii="Times New Roman" w:hAnsi="Times New Roman" w:eastAsia="仿宋_GB2312" w:cs="Times New Roman"/>
          <w:b w:val="0"/>
          <w:bCs w:val="0"/>
          <w:color w:val="auto"/>
          <w:spacing w:val="-6"/>
          <w:kern w:val="0"/>
          <w:sz w:val="32"/>
          <w:szCs w:val="32"/>
          <w:lang w:val="en-US" w:eastAsia="zh-CN"/>
        </w:rPr>
        <w:t>5</w:t>
      </w:r>
      <w:r>
        <w:rPr>
          <w:rFonts w:hint="default" w:ascii="Times New Roman" w:hAnsi="Times New Roman" w:eastAsia="仿宋_GB2312" w:cs="Times New Roman"/>
          <w:b w:val="0"/>
          <w:bCs w:val="0"/>
          <w:color w:val="auto"/>
          <w:spacing w:val="-6"/>
          <w:kern w:val="0"/>
          <w:sz w:val="32"/>
          <w:szCs w:val="32"/>
        </w:rPr>
        <w:t>年</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6项</w:t>
      </w:r>
      <w:r>
        <w:rPr>
          <w:rFonts w:hint="default" w:ascii="Times New Roman" w:hAnsi="Times New Roman" w:eastAsia="仿宋_GB2312" w:cs="Times New Roman"/>
          <w:color w:val="auto"/>
          <w:spacing w:val="-6"/>
          <w:kern w:val="0"/>
          <w:sz w:val="32"/>
          <w:szCs w:val="32"/>
        </w:rPr>
        <w:t>主要大气污染物</w:t>
      </w:r>
      <w:r>
        <w:rPr>
          <w:rFonts w:hint="default" w:ascii="Times New Roman" w:hAnsi="Times New Roman" w:eastAsia="仿宋_GB2312" w:cs="Times New Roman"/>
          <w:color w:val="auto"/>
          <w:spacing w:val="-6"/>
          <w:kern w:val="0"/>
          <w:sz w:val="32"/>
          <w:szCs w:val="32"/>
          <w:lang w:val="en-US" w:eastAsia="zh-CN"/>
        </w:rPr>
        <w:t>浓度</w:t>
      </w:r>
      <w:r>
        <w:rPr>
          <w:rFonts w:hint="default" w:ascii="Times New Roman" w:hAnsi="Times New Roman" w:eastAsia="仿宋_GB2312" w:cs="Times New Roman"/>
          <w:color w:val="auto"/>
          <w:spacing w:val="-6"/>
          <w:kern w:val="0"/>
          <w:sz w:val="32"/>
          <w:szCs w:val="32"/>
        </w:rPr>
        <w:t>达到国家</w:t>
      </w:r>
      <w:r>
        <w:rPr>
          <w:rFonts w:hint="default" w:ascii="Times New Roman" w:hAnsi="Times New Roman" w:eastAsia="仿宋_GB2312" w:cs="Times New Roman"/>
          <w:color w:val="auto"/>
          <w:spacing w:val="-6"/>
          <w:kern w:val="0"/>
          <w:sz w:val="32"/>
          <w:szCs w:val="32"/>
          <w:lang w:val="en-US" w:eastAsia="zh-CN"/>
        </w:rPr>
        <w:t>环境空气质量</w:t>
      </w:r>
      <w:r>
        <w:rPr>
          <w:rFonts w:hint="default" w:ascii="Times New Roman" w:hAnsi="Times New Roman" w:eastAsia="仿宋_GB2312" w:cs="Times New Roman"/>
          <w:color w:val="auto"/>
          <w:spacing w:val="-6"/>
          <w:kern w:val="0"/>
          <w:sz w:val="32"/>
          <w:szCs w:val="32"/>
        </w:rPr>
        <w:t>二级标准。</w:t>
      </w:r>
    </w:p>
    <w:p w14:paraId="33D8C7CA">
      <w:pPr>
        <w:spacing w:line="440" w:lineRule="exact"/>
        <w:jc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表1  衡水市空气质量改善指标表</w:t>
      </w:r>
    </w:p>
    <w:p w14:paraId="686F963F">
      <w:pPr>
        <w:spacing w:line="440" w:lineRule="exact"/>
        <w:ind w:firstLine="480" w:firstLineChars="200"/>
        <w:jc w:val="right"/>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单位：μg/m³，CO：mg/m³</w:t>
      </w:r>
    </w:p>
    <w:tbl>
      <w:tblPr>
        <w:tblStyle w:val="1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37"/>
        <w:gridCol w:w="1105"/>
        <w:gridCol w:w="1729"/>
        <w:gridCol w:w="1271"/>
        <w:gridCol w:w="1500"/>
        <w:gridCol w:w="1321"/>
      </w:tblGrid>
      <w:tr w14:paraId="1441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jc w:val="center"/>
        </w:trPr>
        <w:tc>
          <w:tcPr>
            <w:tcW w:w="664" w:type="dxa"/>
            <w:vMerge w:val="restart"/>
            <w:noWrap w:val="0"/>
            <w:vAlign w:val="center"/>
          </w:tcPr>
          <w:p w14:paraId="5B9E427F">
            <w:pPr>
              <w:spacing w:line="400" w:lineRule="exact"/>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序号</w:t>
            </w:r>
          </w:p>
        </w:tc>
        <w:tc>
          <w:tcPr>
            <w:tcW w:w="1737" w:type="dxa"/>
            <w:vMerge w:val="restart"/>
            <w:noWrap w:val="0"/>
            <w:vAlign w:val="center"/>
          </w:tcPr>
          <w:p w14:paraId="37F7439D">
            <w:pPr>
              <w:spacing w:line="400" w:lineRule="exact"/>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环境质量指标</w:t>
            </w:r>
          </w:p>
        </w:tc>
        <w:tc>
          <w:tcPr>
            <w:tcW w:w="1105" w:type="dxa"/>
            <w:vMerge w:val="restart"/>
            <w:noWrap w:val="0"/>
            <w:vAlign w:val="center"/>
          </w:tcPr>
          <w:p w14:paraId="0E79A234">
            <w:pPr>
              <w:spacing w:line="400" w:lineRule="exact"/>
              <w:jc w:val="center"/>
              <w:rPr>
                <w:rFonts w:hint="default"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20</w:t>
            </w:r>
            <w:r>
              <w:rPr>
                <w:rFonts w:hint="default" w:ascii="Times New Roman" w:hAnsi="Times New Roman" w:eastAsia="仿宋_GB2312" w:cs="Times New Roman"/>
                <w:color w:val="auto"/>
                <w:sz w:val="24"/>
                <w:szCs w:val="24"/>
                <w:lang w:val="en-US" w:eastAsia="zh-CN"/>
              </w:rPr>
              <w:t>24</w:t>
            </w:r>
            <w:r>
              <w:rPr>
                <w:rFonts w:hint="default" w:ascii="Times New Roman" w:hAnsi="Times New Roman" w:eastAsia="仿宋_GB2312" w:cs="Times New Roman"/>
                <w:color w:val="auto"/>
                <w:sz w:val="24"/>
                <w:szCs w:val="24"/>
              </w:rPr>
              <w:t>年</w:t>
            </w:r>
            <w:r>
              <w:rPr>
                <w:rFonts w:hint="default" w:ascii="Times New Roman" w:hAnsi="Times New Roman" w:eastAsia="仿宋_GB2312" w:cs="Times New Roman"/>
                <w:color w:val="auto"/>
                <w:sz w:val="24"/>
                <w:szCs w:val="24"/>
                <w:lang w:val="en-US" w:eastAsia="zh-CN"/>
              </w:rPr>
              <w:t>基准</w:t>
            </w:r>
            <w:r>
              <w:rPr>
                <w:rFonts w:hint="default" w:ascii="Times New Roman" w:hAnsi="Times New Roman" w:eastAsia="仿宋_GB2312" w:cs="Times New Roman"/>
                <w:color w:val="auto"/>
                <w:sz w:val="24"/>
                <w:szCs w:val="24"/>
              </w:rPr>
              <w:t>值</w:t>
            </w:r>
          </w:p>
        </w:tc>
        <w:tc>
          <w:tcPr>
            <w:tcW w:w="4500" w:type="dxa"/>
            <w:gridSpan w:val="3"/>
            <w:noWrap w:val="0"/>
            <w:vAlign w:val="center"/>
          </w:tcPr>
          <w:p w14:paraId="3167AFF0">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目标值</w:t>
            </w:r>
          </w:p>
        </w:tc>
        <w:tc>
          <w:tcPr>
            <w:tcW w:w="1321" w:type="dxa"/>
            <w:vMerge w:val="restart"/>
            <w:noWrap w:val="0"/>
            <w:vAlign w:val="center"/>
          </w:tcPr>
          <w:p w14:paraId="69785FBA">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国家空气质量二级标准</w:t>
            </w:r>
          </w:p>
        </w:tc>
      </w:tr>
      <w:tr w14:paraId="3504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664" w:type="dxa"/>
            <w:vMerge w:val="continue"/>
            <w:noWrap w:val="0"/>
            <w:vAlign w:val="center"/>
          </w:tcPr>
          <w:p w14:paraId="18B2E0AF">
            <w:pPr>
              <w:spacing w:line="400" w:lineRule="exact"/>
              <w:jc w:val="center"/>
              <w:rPr>
                <w:rFonts w:ascii="Times New Roman" w:hAnsi="Times New Roman" w:eastAsia="仿宋_GB2312" w:cs="Times New Roman"/>
                <w:color w:val="auto"/>
                <w:kern w:val="2"/>
                <w:sz w:val="24"/>
                <w:szCs w:val="24"/>
                <w:lang w:val="en-US" w:eastAsia="zh-CN" w:bidi="ar-SA"/>
              </w:rPr>
            </w:pPr>
          </w:p>
        </w:tc>
        <w:tc>
          <w:tcPr>
            <w:tcW w:w="1737" w:type="dxa"/>
            <w:vMerge w:val="continue"/>
            <w:noWrap w:val="0"/>
            <w:vAlign w:val="center"/>
          </w:tcPr>
          <w:p w14:paraId="379C57C4">
            <w:pPr>
              <w:spacing w:line="400" w:lineRule="exact"/>
              <w:jc w:val="center"/>
              <w:rPr>
                <w:rFonts w:ascii="Times New Roman" w:hAnsi="Times New Roman" w:eastAsia="仿宋_GB2312" w:cs="Times New Roman"/>
                <w:color w:val="auto"/>
                <w:kern w:val="2"/>
                <w:sz w:val="24"/>
                <w:szCs w:val="24"/>
                <w:lang w:val="en-US" w:eastAsia="zh-CN" w:bidi="ar-SA"/>
              </w:rPr>
            </w:pPr>
          </w:p>
        </w:tc>
        <w:tc>
          <w:tcPr>
            <w:tcW w:w="1105" w:type="dxa"/>
            <w:vMerge w:val="continue"/>
            <w:noWrap w:val="0"/>
            <w:vAlign w:val="center"/>
          </w:tcPr>
          <w:p w14:paraId="4618C8FB">
            <w:pPr>
              <w:spacing w:line="400" w:lineRule="exact"/>
              <w:jc w:val="center"/>
              <w:rPr>
                <w:rFonts w:ascii="Times New Roman" w:hAnsi="Times New Roman" w:eastAsia="仿宋_GB2312" w:cs="Times New Roman"/>
                <w:color w:val="auto"/>
                <w:kern w:val="2"/>
                <w:sz w:val="24"/>
                <w:szCs w:val="24"/>
                <w:lang w:val="en-US" w:eastAsia="zh-CN" w:bidi="ar-SA"/>
              </w:rPr>
            </w:pPr>
          </w:p>
        </w:tc>
        <w:tc>
          <w:tcPr>
            <w:tcW w:w="1729" w:type="dxa"/>
            <w:noWrap w:val="0"/>
            <w:vAlign w:val="center"/>
          </w:tcPr>
          <w:p w14:paraId="3C812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2028年</w:t>
            </w:r>
          </w:p>
        </w:tc>
        <w:tc>
          <w:tcPr>
            <w:tcW w:w="1271" w:type="dxa"/>
            <w:noWrap w:val="0"/>
            <w:vAlign w:val="center"/>
          </w:tcPr>
          <w:p w14:paraId="3714BD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2030年</w:t>
            </w:r>
          </w:p>
        </w:tc>
        <w:tc>
          <w:tcPr>
            <w:tcW w:w="1500" w:type="dxa"/>
            <w:shd w:val="clear" w:color="auto" w:fill="auto"/>
            <w:noWrap w:val="0"/>
            <w:vAlign w:val="center"/>
          </w:tcPr>
          <w:p w14:paraId="06F3E3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2035年</w:t>
            </w:r>
          </w:p>
        </w:tc>
        <w:tc>
          <w:tcPr>
            <w:tcW w:w="1321" w:type="dxa"/>
            <w:vMerge w:val="continue"/>
            <w:noWrap w:val="0"/>
            <w:vAlign w:val="center"/>
          </w:tcPr>
          <w:p w14:paraId="7BA04523">
            <w:pPr>
              <w:spacing w:line="400" w:lineRule="exact"/>
              <w:jc w:val="center"/>
              <w:rPr>
                <w:rFonts w:ascii="Times New Roman" w:hAnsi="Times New Roman" w:eastAsia="仿宋_GB2312" w:cs="Times New Roman"/>
                <w:color w:val="auto"/>
                <w:sz w:val="24"/>
                <w:szCs w:val="24"/>
              </w:rPr>
            </w:pPr>
          </w:p>
        </w:tc>
      </w:tr>
      <w:tr w14:paraId="083D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2ED041A7">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737" w:type="dxa"/>
            <w:noWrap w:val="0"/>
            <w:vAlign w:val="center"/>
          </w:tcPr>
          <w:p w14:paraId="2159B60A">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PM</w:t>
            </w:r>
            <w:r>
              <w:rPr>
                <w:rFonts w:ascii="Times New Roman" w:hAnsi="Times New Roman" w:eastAsia="仿宋_GB2312" w:cs="Times New Roman"/>
                <w:color w:val="auto"/>
                <w:sz w:val="24"/>
                <w:szCs w:val="24"/>
                <w:vertAlign w:val="subscript"/>
              </w:rPr>
              <w:t>2.5</w:t>
            </w:r>
            <w:r>
              <w:rPr>
                <w:rFonts w:hint="default" w:ascii="Times New Roman" w:hAnsi="Times New Roman" w:eastAsia="仿宋_GB2312" w:cs="Times New Roman"/>
                <w:color w:val="auto"/>
                <w:sz w:val="24"/>
                <w:szCs w:val="24"/>
              </w:rPr>
              <w:t>年均浓度</w:t>
            </w:r>
          </w:p>
        </w:tc>
        <w:tc>
          <w:tcPr>
            <w:tcW w:w="1105" w:type="dxa"/>
            <w:noWrap w:val="0"/>
            <w:vAlign w:val="center"/>
          </w:tcPr>
          <w:p w14:paraId="53082FB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41</w:t>
            </w:r>
          </w:p>
        </w:tc>
        <w:tc>
          <w:tcPr>
            <w:tcW w:w="1729" w:type="dxa"/>
            <w:noWrap w:val="0"/>
            <w:vAlign w:val="center"/>
          </w:tcPr>
          <w:p w14:paraId="518F578A">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36</w:t>
            </w:r>
          </w:p>
        </w:tc>
        <w:tc>
          <w:tcPr>
            <w:tcW w:w="1271" w:type="dxa"/>
            <w:shd w:val="clear" w:color="auto" w:fill="auto"/>
            <w:noWrap w:val="0"/>
            <w:vAlign w:val="center"/>
          </w:tcPr>
          <w:p w14:paraId="0797E932">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35</w:t>
            </w:r>
          </w:p>
        </w:tc>
        <w:tc>
          <w:tcPr>
            <w:tcW w:w="1500" w:type="dxa"/>
            <w:shd w:val="clear" w:color="auto" w:fill="auto"/>
            <w:noWrap w:val="0"/>
            <w:vAlign w:val="center"/>
          </w:tcPr>
          <w:p w14:paraId="511B73C4">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35</w:t>
            </w:r>
          </w:p>
        </w:tc>
        <w:tc>
          <w:tcPr>
            <w:tcW w:w="1321" w:type="dxa"/>
            <w:noWrap w:val="0"/>
            <w:vAlign w:val="center"/>
          </w:tcPr>
          <w:p w14:paraId="641C2E01">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35</w:t>
            </w:r>
          </w:p>
        </w:tc>
      </w:tr>
      <w:tr w14:paraId="00A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695F7710">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2</w:t>
            </w:r>
          </w:p>
        </w:tc>
        <w:tc>
          <w:tcPr>
            <w:tcW w:w="1737" w:type="dxa"/>
            <w:noWrap w:val="0"/>
            <w:vAlign w:val="center"/>
          </w:tcPr>
          <w:p w14:paraId="0F2CAB10">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O</w:t>
            </w:r>
            <w:r>
              <w:rPr>
                <w:rFonts w:ascii="Times New Roman" w:hAnsi="Times New Roman" w:eastAsia="仿宋_GB2312" w:cs="Times New Roman"/>
                <w:color w:val="auto"/>
                <w:sz w:val="24"/>
                <w:szCs w:val="24"/>
                <w:vertAlign w:val="subscript"/>
              </w:rPr>
              <w:t>3</w:t>
            </w:r>
            <w:r>
              <w:rPr>
                <w:rFonts w:hint="default" w:ascii="Times New Roman" w:hAnsi="Times New Roman" w:eastAsia="仿宋_GB2312" w:cs="Times New Roman"/>
                <w:color w:val="auto"/>
                <w:sz w:val="24"/>
                <w:szCs w:val="24"/>
              </w:rPr>
              <w:t>日最大</w:t>
            </w:r>
            <w:r>
              <w:rPr>
                <w:rFonts w:ascii="Times New Roman" w:hAnsi="Times New Roman" w:eastAsia="仿宋_GB2312" w:cs="Times New Roman"/>
                <w:color w:val="auto"/>
                <w:sz w:val="24"/>
                <w:szCs w:val="24"/>
              </w:rPr>
              <w:t>8</w:t>
            </w:r>
            <w:r>
              <w:rPr>
                <w:rFonts w:hint="default" w:ascii="Times New Roman" w:hAnsi="Times New Roman" w:eastAsia="仿宋_GB2312" w:cs="Times New Roman"/>
                <w:color w:val="auto"/>
                <w:sz w:val="24"/>
                <w:szCs w:val="24"/>
              </w:rPr>
              <w:t>小时平均值第</w:t>
            </w:r>
            <w:r>
              <w:rPr>
                <w:rFonts w:ascii="Times New Roman" w:hAnsi="Times New Roman" w:eastAsia="仿宋_GB2312" w:cs="Times New Roman"/>
                <w:color w:val="auto"/>
                <w:sz w:val="24"/>
                <w:szCs w:val="24"/>
              </w:rPr>
              <w:t>90</w:t>
            </w:r>
            <w:r>
              <w:rPr>
                <w:rFonts w:hint="default" w:ascii="Times New Roman" w:hAnsi="Times New Roman" w:eastAsia="仿宋_GB2312" w:cs="Times New Roman"/>
                <w:color w:val="auto"/>
                <w:sz w:val="24"/>
                <w:szCs w:val="24"/>
              </w:rPr>
              <w:t>百分位</w:t>
            </w:r>
          </w:p>
        </w:tc>
        <w:tc>
          <w:tcPr>
            <w:tcW w:w="1105" w:type="dxa"/>
            <w:noWrap w:val="0"/>
            <w:vAlign w:val="center"/>
          </w:tcPr>
          <w:p w14:paraId="640EA9A2">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182</w:t>
            </w:r>
          </w:p>
        </w:tc>
        <w:tc>
          <w:tcPr>
            <w:tcW w:w="1729" w:type="dxa"/>
            <w:noWrap w:val="0"/>
            <w:vAlign w:val="center"/>
          </w:tcPr>
          <w:p w14:paraId="09C5E9F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稳定改善</w:t>
            </w:r>
          </w:p>
        </w:tc>
        <w:tc>
          <w:tcPr>
            <w:tcW w:w="1271" w:type="dxa"/>
            <w:shd w:val="clear" w:color="auto" w:fill="auto"/>
            <w:noWrap w:val="0"/>
            <w:vAlign w:val="center"/>
          </w:tcPr>
          <w:p w14:paraId="30C56AC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稳定改善</w:t>
            </w:r>
          </w:p>
        </w:tc>
        <w:tc>
          <w:tcPr>
            <w:tcW w:w="1500" w:type="dxa"/>
            <w:shd w:val="clear" w:color="auto" w:fill="auto"/>
            <w:noWrap w:val="0"/>
            <w:vAlign w:val="center"/>
          </w:tcPr>
          <w:p w14:paraId="477ADCA4">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力争达标</w:t>
            </w:r>
          </w:p>
        </w:tc>
        <w:tc>
          <w:tcPr>
            <w:tcW w:w="1321" w:type="dxa"/>
            <w:noWrap w:val="0"/>
            <w:vAlign w:val="center"/>
          </w:tcPr>
          <w:p w14:paraId="4DADF4FB">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160</w:t>
            </w:r>
          </w:p>
        </w:tc>
      </w:tr>
      <w:tr w14:paraId="65CA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12C6E1C0">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3</w:t>
            </w:r>
          </w:p>
        </w:tc>
        <w:tc>
          <w:tcPr>
            <w:tcW w:w="1737" w:type="dxa"/>
            <w:noWrap w:val="0"/>
            <w:vAlign w:val="center"/>
          </w:tcPr>
          <w:p w14:paraId="08EAAD17">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PM</w:t>
            </w:r>
            <w:r>
              <w:rPr>
                <w:rFonts w:ascii="Times New Roman" w:hAnsi="Times New Roman" w:eastAsia="仿宋_GB2312" w:cs="Times New Roman"/>
                <w:color w:val="auto"/>
                <w:sz w:val="24"/>
                <w:szCs w:val="24"/>
                <w:vertAlign w:val="subscript"/>
              </w:rPr>
              <w:t>10</w:t>
            </w:r>
            <w:r>
              <w:rPr>
                <w:rFonts w:hint="default" w:ascii="Times New Roman" w:hAnsi="Times New Roman" w:eastAsia="仿宋_GB2312" w:cs="Times New Roman"/>
                <w:color w:val="auto"/>
                <w:sz w:val="24"/>
                <w:szCs w:val="24"/>
              </w:rPr>
              <w:t>年均浓度</w:t>
            </w:r>
          </w:p>
        </w:tc>
        <w:tc>
          <w:tcPr>
            <w:tcW w:w="1105" w:type="dxa"/>
            <w:noWrap w:val="0"/>
            <w:vAlign w:val="center"/>
          </w:tcPr>
          <w:p w14:paraId="500F433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69</w:t>
            </w:r>
          </w:p>
        </w:tc>
        <w:tc>
          <w:tcPr>
            <w:tcW w:w="1729" w:type="dxa"/>
            <w:noWrap w:val="0"/>
            <w:vAlign w:val="center"/>
          </w:tcPr>
          <w:p w14:paraId="50882913">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完成省厅目标</w:t>
            </w:r>
          </w:p>
        </w:tc>
        <w:tc>
          <w:tcPr>
            <w:tcW w:w="1271" w:type="dxa"/>
            <w:shd w:val="clear" w:color="auto" w:fill="auto"/>
            <w:noWrap w:val="0"/>
            <w:vAlign w:val="center"/>
          </w:tcPr>
          <w:p w14:paraId="34DE7DE8">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70</w:t>
            </w:r>
          </w:p>
        </w:tc>
        <w:tc>
          <w:tcPr>
            <w:tcW w:w="1500" w:type="dxa"/>
            <w:shd w:val="clear" w:color="auto" w:fill="auto"/>
            <w:noWrap w:val="0"/>
            <w:vAlign w:val="center"/>
          </w:tcPr>
          <w:p w14:paraId="37D89E93">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70</w:t>
            </w:r>
          </w:p>
        </w:tc>
        <w:tc>
          <w:tcPr>
            <w:tcW w:w="1321" w:type="dxa"/>
            <w:noWrap w:val="0"/>
            <w:vAlign w:val="center"/>
          </w:tcPr>
          <w:p w14:paraId="01EA74D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70</w:t>
            </w:r>
          </w:p>
        </w:tc>
      </w:tr>
      <w:tr w14:paraId="105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744E3E04">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4</w:t>
            </w:r>
          </w:p>
        </w:tc>
        <w:tc>
          <w:tcPr>
            <w:tcW w:w="1737" w:type="dxa"/>
            <w:noWrap w:val="0"/>
            <w:vAlign w:val="center"/>
          </w:tcPr>
          <w:p w14:paraId="50D61E8F">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SO</w:t>
            </w:r>
            <w:r>
              <w:rPr>
                <w:rFonts w:ascii="Times New Roman" w:hAnsi="Times New Roman" w:eastAsia="仿宋_GB2312" w:cs="Times New Roman"/>
                <w:color w:val="auto"/>
                <w:sz w:val="24"/>
                <w:szCs w:val="24"/>
                <w:vertAlign w:val="subscript"/>
              </w:rPr>
              <w:t>2</w:t>
            </w:r>
            <w:r>
              <w:rPr>
                <w:rFonts w:hint="default" w:ascii="Times New Roman" w:hAnsi="Times New Roman" w:eastAsia="仿宋_GB2312" w:cs="Times New Roman"/>
                <w:color w:val="auto"/>
                <w:sz w:val="24"/>
                <w:szCs w:val="24"/>
              </w:rPr>
              <w:t>年均浓度</w:t>
            </w:r>
          </w:p>
        </w:tc>
        <w:tc>
          <w:tcPr>
            <w:tcW w:w="1105" w:type="dxa"/>
            <w:noWrap w:val="0"/>
            <w:vAlign w:val="center"/>
          </w:tcPr>
          <w:p w14:paraId="46E2D152">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w:t>
            </w:r>
          </w:p>
        </w:tc>
        <w:tc>
          <w:tcPr>
            <w:tcW w:w="1729" w:type="dxa"/>
            <w:noWrap w:val="0"/>
            <w:vAlign w:val="center"/>
          </w:tcPr>
          <w:p w14:paraId="51EB0E76">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271" w:type="dxa"/>
            <w:shd w:val="clear" w:color="auto" w:fill="auto"/>
            <w:noWrap w:val="0"/>
            <w:vAlign w:val="center"/>
          </w:tcPr>
          <w:p w14:paraId="0A1344AB">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500" w:type="dxa"/>
            <w:shd w:val="clear" w:color="auto" w:fill="auto"/>
            <w:noWrap w:val="0"/>
            <w:vAlign w:val="center"/>
          </w:tcPr>
          <w:p w14:paraId="3606591D">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321" w:type="dxa"/>
            <w:noWrap w:val="0"/>
            <w:vAlign w:val="center"/>
          </w:tcPr>
          <w:p w14:paraId="77706145">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60</w:t>
            </w:r>
          </w:p>
        </w:tc>
      </w:tr>
      <w:tr w14:paraId="18E2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28E29603">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5</w:t>
            </w:r>
          </w:p>
        </w:tc>
        <w:tc>
          <w:tcPr>
            <w:tcW w:w="1737" w:type="dxa"/>
            <w:noWrap w:val="0"/>
            <w:vAlign w:val="center"/>
          </w:tcPr>
          <w:p w14:paraId="7C616BC6">
            <w:pPr>
              <w:spacing w:line="40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NO</w:t>
            </w:r>
            <w:r>
              <w:rPr>
                <w:rFonts w:ascii="Times New Roman" w:hAnsi="Times New Roman" w:eastAsia="仿宋_GB2312" w:cs="Times New Roman"/>
                <w:color w:val="auto"/>
                <w:sz w:val="24"/>
                <w:szCs w:val="24"/>
                <w:vertAlign w:val="subscript"/>
              </w:rPr>
              <w:t>2</w:t>
            </w:r>
            <w:r>
              <w:rPr>
                <w:rFonts w:hint="default" w:ascii="Times New Roman" w:hAnsi="Times New Roman" w:eastAsia="仿宋_GB2312" w:cs="Times New Roman"/>
                <w:color w:val="auto"/>
                <w:sz w:val="24"/>
                <w:szCs w:val="24"/>
              </w:rPr>
              <w:t>年均浓度</w:t>
            </w:r>
          </w:p>
        </w:tc>
        <w:tc>
          <w:tcPr>
            <w:tcW w:w="1105" w:type="dxa"/>
            <w:noWrap w:val="0"/>
            <w:vAlign w:val="center"/>
          </w:tcPr>
          <w:p w14:paraId="4C5646B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24</w:t>
            </w:r>
          </w:p>
        </w:tc>
        <w:tc>
          <w:tcPr>
            <w:tcW w:w="1729" w:type="dxa"/>
            <w:noWrap w:val="0"/>
            <w:vAlign w:val="center"/>
          </w:tcPr>
          <w:p w14:paraId="511C97DD">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持续达标</w:t>
            </w:r>
          </w:p>
        </w:tc>
        <w:tc>
          <w:tcPr>
            <w:tcW w:w="1271" w:type="dxa"/>
            <w:shd w:val="clear" w:color="auto" w:fill="auto"/>
            <w:noWrap w:val="0"/>
            <w:vAlign w:val="center"/>
          </w:tcPr>
          <w:p w14:paraId="3EF0545F">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500" w:type="dxa"/>
            <w:shd w:val="clear" w:color="auto" w:fill="auto"/>
            <w:noWrap w:val="0"/>
            <w:vAlign w:val="center"/>
          </w:tcPr>
          <w:p w14:paraId="273FAC1E">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321" w:type="dxa"/>
            <w:noWrap w:val="0"/>
            <w:vAlign w:val="center"/>
          </w:tcPr>
          <w:p w14:paraId="12304C50">
            <w:pPr>
              <w:spacing w:line="400" w:lineRule="exact"/>
              <w:jc w:val="center"/>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40</w:t>
            </w:r>
          </w:p>
        </w:tc>
      </w:tr>
      <w:tr w14:paraId="43D3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64" w:type="dxa"/>
            <w:noWrap w:val="0"/>
            <w:vAlign w:val="center"/>
          </w:tcPr>
          <w:p w14:paraId="094DE74C">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6</w:t>
            </w:r>
          </w:p>
        </w:tc>
        <w:tc>
          <w:tcPr>
            <w:tcW w:w="1737" w:type="dxa"/>
            <w:noWrap w:val="0"/>
            <w:vAlign w:val="center"/>
          </w:tcPr>
          <w:p w14:paraId="3096FCDF">
            <w:pPr>
              <w:spacing w:line="400" w:lineRule="exact"/>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sz w:val="24"/>
                <w:szCs w:val="24"/>
              </w:rPr>
              <w:t>CO</w:t>
            </w:r>
            <w:r>
              <w:rPr>
                <w:rFonts w:hint="default" w:ascii="Times New Roman" w:hAnsi="Times New Roman" w:eastAsia="仿宋_GB2312" w:cs="Times New Roman"/>
                <w:color w:val="auto"/>
                <w:sz w:val="24"/>
                <w:szCs w:val="24"/>
              </w:rPr>
              <w:t>日平均浓度第</w:t>
            </w:r>
            <w:r>
              <w:rPr>
                <w:rFonts w:ascii="Times New Roman" w:hAnsi="Times New Roman" w:eastAsia="仿宋_GB2312" w:cs="Times New Roman"/>
                <w:color w:val="auto"/>
                <w:sz w:val="24"/>
                <w:szCs w:val="24"/>
              </w:rPr>
              <w:t>95</w:t>
            </w:r>
            <w:r>
              <w:rPr>
                <w:rFonts w:hint="default" w:ascii="Times New Roman" w:hAnsi="Times New Roman" w:eastAsia="仿宋_GB2312" w:cs="Times New Roman"/>
                <w:color w:val="auto"/>
                <w:sz w:val="24"/>
                <w:szCs w:val="24"/>
              </w:rPr>
              <w:t>百分位</w:t>
            </w:r>
          </w:p>
        </w:tc>
        <w:tc>
          <w:tcPr>
            <w:tcW w:w="1105" w:type="dxa"/>
            <w:noWrap w:val="0"/>
            <w:vAlign w:val="center"/>
          </w:tcPr>
          <w:p w14:paraId="4A9F798F">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0.9</w:t>
            </w:r>
          </w:p>
        </w:tc>
        <w:tc>
          <w:tcPr>
            <w:tcW w:w="1729" w:type="dxa"/>
            <w:noWrap w:val="0"/>
            <w:vAlign w:val="center"/>
          </w:tcPr>
          <w:p w14:paraId="76D787B1">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271" w:type="dxa"/>
            <w:shd w:val="clear" w:color="auto" w:fill="auto"/>
            <w:noWrap w:val="0"/>
            <w:vAlign w:val="center"/>
          </w:tcPr>
          <w:p w14:paraId="559D2B8D">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500" w:type="dxa"/>
            <w:shd w:val="clear" w:color="auto" w:fill="auto"/>
            <w:noWrap w:val="0"/>
            <w:vAlign w:val="center"/>
          </w:tcPr>
          <w:p w14:paraId="4D0FC494">
            <w:pPr>
              <w:spacing w:line="4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持续达标</w:t>
            </w:r>
          </w:p>
        </w:tc>
        <w:tc>
          <w:tcPr>
            <w:tcW w:w="1321" w:type="dxa"/>
            <w:noWrap w:val="0"/>
            <w:vAlign w:val="center"/>
          </w:tcPr>
          <w:p w14:paraId="40C1F80F">
            <w:pPr>
              <w:spacing w:line="400" w:lineRule="exact"/>
              <w:jc w:val="center"/>
              <w:rPr>
                <w:rFonts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4</w:t>
            </w:r>
          </w:p>
        </w:tc>
      </w:tr>
      <w:tr w14:paraId="37E0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9327" w:type="dxa"/>
            <w:gridSpan w:val="7"/>
            <w:noWrap w:val="0"/>
            <w:vAlign w:val="center"/>
          </w:tcPr>
          <w:p w14:paraId="0A81D15F">
            <w:pPr>
              <w:spacing w:line="400" w:lineRule="exact"/>
              <w:jc w:val="lef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注：</w:t>
            </w:r>
            <w:r>
              <w:rPr>
                <w:rFonts w:ascii="Times New Roman" w:hAnsi="Times New Roman" w:eastAsia="仿宋_GB2312" w:cs="Times New Roman"/>
                <w:color w:val="auto"/>
                <w:sz w:val="24"/>
                <w:szCs w:val="24"/>
              </w:rPr>
              <w:t>PM</w:t>
            </w:r>
            <w:r>
              <w:rPr>
                <w:rFonts w:ascii="Times New Roman" w:hAnsi="Times New Roman" w:eastAsia="仿宋_GB2312" w:cs="Times New Roman"/>
                <w:color w:val="auto"/>
                <w:sz w:val="24"/>
                <w:szCs w:val="24"/>
                <w:vertAlign w:val="subscript"/>
              </w:rPr>
              <w:t>2.5</w:t>
            </w:r>
            <w:r>
              <w:rPr>
                <w:rFonts w:hint="eastAsia" w:ascii="Times New Roman" w:hAnsi="Times New Roman" w:eastAsia="仿宋_GB2312" w:cs="Times New Roman"/>
                <w:color w:val="auto"/>
                <w:sz w:val="24"/>
                <w:szCs w:val="24"/>
                <w:lang w:val="en-US" w:eastAsia="zh-CN"/>
              </w:rPr>
              <w:t>和</w:t>
            </w:r>
            <w:r>
              <w:rPr>
                <w:rFonts w:ascii="Times New Roman" w:hAnsi="Times New Roman" w:eastAsia="仿宋_GB2312" w:cs="Times New Roman"/>
                <w:color w:val="auto"/>
                <w:sz w:val="24"/>
                <w:szCs w:val="24"/>
              </w:rPr>
              <w:t>O</w:t>
            </w:r>
            <w:r>
              <w:rPr>
                <w:rFonts w:ascii="Times New Roman" w:hAnsi="Times New Roman" w:eastAsia="仿宋_GB2312" w:cs="Times New Roman"/>
                <w:color w:val="auto"/>
                <w:sz w:val="24"/>
                <w:szCs w:val="24"/>
                <w:vertAlign w:val="subscript"/>
              </w:rPr>
              <w:t>3</w:t>
            </w:r>
            <w:r>
              <w:rPr>
                <w:rFonts w:hint="eastAsia" w:ascii="Times New Roman" w:hAnsi="Times New Roman" w:eastAsia="仿宋_GB2312" w:cs="Times New Roman"/>
                <w:color w:val="auto"/>
                <w:sz w:val="24"/>
                <w:szCs w:val="24"/>
                <w:lang w:val="en-US" w:eastAsia="zh-CN"/>
              </w:rPr>
              <w:t>实现目标值需气象条件有利于污染物的扩散，并需要衡水及周边城市共同采取大气污染物强化减排措施。</w:t>
            </w:r>
          </w:p>
        </w:tc>
      </w:tr>
      <w:bookmarkEnd w:id="0"/>
      <w:bookmarkEnd w:id="1"/>
    </w:tbl>
    <w:p w14:paraId="631E1AB9">
      <w:pPr>
        <w:pStyle w:val="2"/>
        <w:keepNext w:val="0"/>
        <w:keepLines w:val="0"/>
        <w:spacing w:before="0" w:after="0" w:line="620" w:lineRule="exact"/>
        <w:ind w:firstLine="640" w:firstLineChars="200"/>
        <w:rPr>
          <w:rStyle w:val="14"/>
          <w:rFonts w:ascii="Times New Roman" w:hAnsi="Times New Roman" w:cs="Times New Roman"/>
          <w:b w:val="0"/>
          <w:bCs w:val="0"/>
          <w:color w:val="auto"/>
          <w:sz w:val="32"/>
          <w:szCs w:val="32"/>
          <w:u w:val="none"/>
        </w:rPr>
      </w:pPr>
      <w:bookmarkStart w:id="22" w:name="_Toc27984"/>
      <w:bookmarkStart w:id="23" w:name="_Toc27566"/>
      <w:bookmarkStart w:id="24" w:name="_Toc3781"/>
      <w:bookmarkStart w:id="25" w:name="_Toc3994_WPSOffice_Level1"/>
      <w:r>
        <w:rPr>
          <w:rStyle w:val="14"/>
          <w:rFonts w:hint="default" w:ascii="Times New Roman" w:hAnsi="Times New Roman" w:cs="Times New Roman"/>
          <w:b w:val="0"/>
          <w:bCs w:val="0"/>
          <w:color w:val="auto"/>
          <w:sz w:val="32"/>
          <w:szCs w:val="32"/>
          <w:u w:val="none"/>
        </w:rPr>
        <w:t>三、重点任务</w:t>
      </w:r>
      <w:bookmarkEnd w:id="22"/>
      <w:bookmarkEnd w:id="23"/>
      <w:bookmarkEnd w:id="24"/>
      <w:bookmarkEnd w:id="25"/>
    </w:p>
    <w:p w14:paraId="69CF6D0D">
      <w:pPr>
        <w:pStyle w:val="3"/>
        <w:keepNext w:val="0"/>
        <w:keepLines w:val="0"/>
        <w:adjustRightInd w:val="0"/>
        <w:snapToGrid w:val="0"/>
        <w:spacing w:line="620" w:lineRule="exact"/>
        <w:ind w:firstLine="640" w:firstLineChars="200"/>
        <w:rPr>
          <w:rFonts w:ascii="Times New Roman" w:hAnsi="Times New Roman" w:eastAsia="楷体_GB2312" w:cs="Times New Roman"/>
          <w:b w:val="0"/>
          <w:bCs w:val="0"/>
          <w:color w:val="auto"/>
        </w:rPr>
      </w:pPr>
      <w:bookmarkStart w:id="26" w:name="_Toc11154"/>
      <w:bookmarkStart w:id="27" w:name="_Toc16623"/>
      <w:bookmarkStart w:id="28" w:name="_Toc29251_WPSOffice_Level2"/>
      <w:bookmarkStart w:id="29" w:name="_Toc17761"/>
      <w:r>
        <w:rPr>
          <w:rFonts w:hint="default" w:ascii="Times New Roman" w:hAnsi="Times New Roman" w:eastAsia="楷体_GB2312" w:cs="Times New Roman"/>
          <w:b w:val="0"/>
          <w:bCs w:val="0"/>
          <w:color w:val="auto"/>
        </w:rPr>
        <w:t>（一）着力调整产业结构</w:t>
      </w:r>
      <w:bookmarkEnd w:id="26"/>
      <w:bookmarkEnd w:id="27"/>
      <w:bookmarkEnd w:id="28"/>
      <w:bookmarkEnd w:id="29"/>
    </w:p>
    <w:p w14:paraId="1CB0A7F3">
      <w:pPr>
        <w:pStyle w:val="5"/>
        <w:adjustRightInd w:val="0"/>
        <w:snapToGrid w:val="0"/>
        <w:spacing w:line="620" w:lineRule="exact"/>
        <w:ind w:left="0" w:firstLine="640" w:firstLineChars="200"/>
        <w:rPr>
          <w:rFonts w:hint="default" w:ascii="Times New Roman" w:hAnsi="Times New Roman" w:eastAsia="仿宋_GB2312" w:cs="Times New Roman"/>
          <w:b/>
          <w:bCs/>
          <w:color w:val="auto"/>
          <w:sz w:val="32"/>
          <w:szCs w:val="32"/>
          <w:lang w:eastAsia="zh-CN"/>
        </w:rPr>
      </w:pPr>
      <w:r>
        <w:rPr>
          <w:rFonts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rPr>
        <w:t>严格环境准入标准。</w:t>
      </w:r>
      <w:bookmarkStart w:id="30" w:name="OLE_LINK4"/>
      <w:r>
        <w:rPr>
          <w:rFonts w:hint="default" w:ascii="Times New Roman" w:hAnsi="Times New Roman" w:eastAsia="仿宋_GB2312" w:cs="Times New Roman"/>
          <w:b w:val="0"/>
          <w:bCs w:val="0"/>
          <w:color w:val="auto"/>
          <w:sz w:val="32"/>
          <w:szCs w:val="32"/>
          <w:highlight w:val="none"/>
        </w:rPr>
        <w:t>新</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改</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扩建项目</w:t>
      </w:r>
      <w:r>
        <w:rPr>
          <w:rFonts w:hint="default" w:ascii="Times New Roman" w:hAnsi="Times New Roman" w:eastAsia="仿宋_GB2312" w:cs="Times New Roman"/>
          <w:b w:val="0"/>
          <w:bCs w:val="0"/>
          <w:color w:val="auto"/>
          <w:sz w:val="32"/>
          <w:szCs w:val="32"/>
          <w:highlight w:val="none"/>
          <w:lang w:val="en-US" w:eastAsia="zh-CN"/>
        </w:rPr>
        <w:t>应</w:t>
      </w:r>
      <w:r>
        <w:rPr>
          <w:rFonts w:hint="default" w:ascii="Times New Roman" w:hAnsi="Times New Roman" w:eastAsia="仿宋_GB2312" w:cs="Times New Roman"/>
          <w:b w:val="0"/>
          <w:bCs w:val="0"/>
          <w:color w:val="auto"/>
          <w:sz w:val="32"/>
          <w:szCs w:val="32"/>
          <w:highlight w:val="none"/>
        </w:rPr>
        <w:t>严格落实国家、省和我市产业规划、产业政策、生态环境分区管控</w:t>
      </w:r>
      <w:r>
        <w:rPr>
          <w:rFonts w:hint="default" w:ascii="Times New Roman" w:hAnsi="Times New Roman" w:eastAsia="仿宋_GB2312" w:cs="Times New Roman"/>
          <w:b w:val="0"/>
          <w:bCs w:val="0"/>
          <w:color w:val="auto"/>
          <w:sz w:val="32"/>
          <w:szCs w:val="32"/>
          <w:highlight w:val="none"/>
          <w:lang w:val="en-US" w:eastAsia="zh-CN"/>
        </w:rPr>
        <w:t>方案</w:t>
      </w:r>
      <w:r>
        <w:rPr>
          <w:rFonts w:hint="default" w:ascii="Times New Roman" w:hAnsi="Times New Roman" w:eastAsia="仿宋_GB2312" w:cs="Times New Roman"/>
          <w:b w:val="0"/>
          <w:bCs w:val="0"/>
          <w:color w:val="auto"/>
          <w:sz w:val="32"/>
          <w:szCs w:val="32"/>
          <w:highlight w:val="none"/>
        </w:rPr>
        <w:t>、产能置换、重点污染物总量控制、污染物排放区域削减、碳排放达峰目标等相关要求</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原则上采用清洁运输方式。坚决遏制高耗能、高排放、低水平项目盲目</w:t>
      </w:r>
      <w:r>
        <w:rPr>
          <w:rFonts w:hint="default" w:ascii="Times New Roman" w:hAnsi="Times New Roman" w:eastAsia="仿宋_GB2312" w:cs="Times New Roman"/>
          <w:b w:val="0"/>
          <w:bCs w:val="0"/>
          <w:color w:val="auto"/>
          <w:sz w:val="32"/>
          <w:szCs w:val="32"/>
          <w:highlight w:val="none"/>
          <w:lang w:val="en-US" w:eastAsia="zh-CN"/>
        </w:rPr>
        <w:t>发展</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FangSong_GB2312" w:cs="Times New Roman"/>
          <w:color w:val="auto"/>
          <w:spacing w:val="6"/>
          <w:sz w:val="31"/>
          <w:szCs w:val="31"/>
          <w:highlight w:val="none"/>
        </w:rPr>
        <w:t>新建及具备条件的改、扩建</w:t>
      </w:r>
      <w:r>
        <w:rPr>
          <w:rFonts w:hint="default" w:ascii="Times New Roman" w:hAnsi="Times New Roman" w:eastAsia="FangSong_GB2312" w:cs="Times New Roman"/>
          <w:color w:val="auto"/>
          <w:spacing w:val="6"/>
          <w:sz w:val="31"/>
          <w:szCs w:val="31"/>
          <w:highlight w:val="none"/>
          <w:lang w:eastAsia="zh-CN"/>
        </w:rPr>
        <w:t>“</w:t>
      </w:r>
      <w:r>
        <w:rPr>
          <w:rFonts w:hint="default" w:ascii="Times New Roman" w:hAnsi="Times New Roman" w:eastAsia="FangSong_GB2312" w:cs="Times New Roman"/>
          <w:color w:val="auto"/>
          <w:spacing w:val="6"/>
          <w:sz w:val="31"/>
          <w:szCs w:val="31"/>
          <w:highlight w:val="none"/>
          <w:lang w:val="en-US" w:eastAsia="zh-CN"/>
        </w:rPr>
        <w:t>两高</w:t>
      </w:r>
      <w:r>
        <w:rPr>
          <w:rFonts w:hint="default" w:ascii="Times New Roman" w:hAnsi="Times New Roman" w:eastAsia="FangSong_GB2312" w:cs="Times New Roman"/>
          <w:color w:val="auto"/>
          <w:spacing w:val="6"/>
          <w:sz w:val="31"/>
          <w:szCs w:val="31"/>
          <w:highlight w:val="none"/>
          <w:lang w:eastAsia="zh-CN"/>
        </w:rPr>
        <w:t>”</w:t>
      </w:r>
      <w:r>
        <w:rPr>
          <w:rFonts w:ascii="Times New Roman" w:hAnsi="Times New Roman" w:eastAsia="FangSong_GB2312" w:cs="Times New Roman"/>
          <w:color w:val="auto"/>
          <w:spacing w:val="6"/>
          <w:sz w:val="31"/>
          <w:szCs w:val="31"/>
          <w:highlight w:val="none"/>
        </w:rPr>
        <w:t>项目能效应达</w:t>
      </w:r>
      <w:r>
        <w:rPr>
          <w:rFonts w:ascii="Times New Roman" w:hAnsi="Times New Roman" w:eastAsia="FangSong_GB2312" w:cs="Times New Roman"/>
          <w:color w:val="auto"/>
          <w:spacing w:val="16"/>
          <w:sz w:val="31"/>
          <w:szCs w:val="31"/>
          <w:highlight w:val="none"/>
        </w:rPr>
        <w:t>到标杆水平</w:t>
      </w:r>
      <w:r>
        <w:rPr>
          <w:rFonts w:hint="default" w:ascii="Times New Roman" w:hAnsi="Times New Roman" w:eastAsia="FangSong_GB2312" w:cs="Times New Roman"/>
          <w:color w:val="auto"/>
          <w:spacing w:val="16"/>
          <w:sz w:val="31"/>
          <w:szCs w:val="31"/>
          <w:highlight w:val="none"/>
          <w:lang w:eastAsia="zh-CN"/>
        </w:rPr>
        <w:t>，</w:t>
      </w:r>
      <w:r>
        <w:rPr>
          <w:rFonts w:ascii="Times New Roman" w:hAnsi="Times New Roman" w:eastAsia="FangSong_GB2312" w:cs="Times New Roman"/>
          <w:color w:val="auto"/>
          <w:spacing w:val="16"/>
          <w:sz w:val="31"/>
          <w:szCs w:val="31"/>
          <w:highlight w:val="none"/>
        </w:rPr>
        <w:t>环保绩效应达到</w:t>
      </w:r>
      <w:r>
        <w:rPr>
          <w:rFonts w:ascii="Times New Roman" w:hAnsi="Times New Roman" w:eastAsia="Times New Roman" w:cs="Times New Roman"/>
          <w:color w:val="auto"/>
          <w:spacing w:val="16"/>
          <w:sz w:val="31"/>
          <w:szCs w:val="31"/>
          <w:highlight w:val="none"/>
        </w:rPr>
        <w:t>A</w:t>
      </w:r>
      <w:r>
        <w:rPr>
          <w:rFonts w:ascii="Times New Roman" w:hAnsi="Times New Roman" w:eastAsia="FangSong_GB2312" w:cs="Times New Roman"/>
          <w:color w:val="auto"/>
          <w:spacing w:val="16"/>
          <w:sz w:val="31"/>
          <w:szCs w:val="31"/>
          <w:highlight w:val="none"/>
        </w:rPr>
        <w:t>级或引领性水平。</w:t>
      </w:r>
      <w:r>
        <w:rPr>
          <w:rFonts w:hint="default" w:ascii="Times New Roman" w:hAnsi="Times New Roman" w:eastAsia="仿宋_GB2312" w:cs="Times New Roman"/>
          <w:b w:val="0"/>
          <w:bCs w:val="0"/>
          <w:color w:val="auto"/>
          <w:kern w:val="0"/>
          <w:sz w:val="32"/>
          <w:szCs w:val="32"/>
          <w:highlight w:val="none"/>
          <w:lang w:val="en-US" w:eastAsia="zh-CN"/>
        </w:rPr>
        <w:t>严禁新增钢铁产能。</w:t>
      </w:r>
      <w:r>
        <w:rPr>
          <w:rFonts w:ascii="Times New Roman" w:hAnsi="Times New Roman" w:eastAsia="FangSong_GB2312" w:cs="Times New Roman"/>
          <w:color w:val="auto"/>
          <w:spacing w:val="5"/>
          <w:sz w:val="31"/>
          <w:szCs w:val="31"/>
          <w:highlight w:val="none"/>
        </w:rPr>
        <w:t>严控新增化工园区</w:t>
      </w:r>
      <w:r>
        <w:rPr>
          <w:rFonts w:hint="default" w:ascii="Times New Roman" w:hAnsi="Times New Roman" w:eastAsia="FangSong_GB2312" w:cs="Times New Roman"/>
          <w:color w:val="auto"/>
          <w:spacing w:val="5"/>
          <w:sz w:val="31"/>
          <w:szCs w:val="31"/>
          <w:highlight w:val="none"/>
          <w:lang w:eastAsia="zh-CN"/>
        </w:rPr>
        <w:t>，</w:t>
      </w:r>
      <w:r>
        <w:rPr>
          <w:rFonts w:ascii="Times New Roman" w:hAnsi="Times New Roman" w:eastAsia="FangSong_GB2312" w:cs="Times New Roman"/>
          <w:color w:val="auto"/>
          <w:spacing w:val="5"/>
          <w:sz w:val="31"/>
          <w:szCs w:val="31"/>
          <w:highlight w:val="none"/>
        </w:rPr>
        <w:t>新、改、扩建涉煤项目排放的颗粒物、</w:t>
      </w:r>
      <w:r>
        <w:rPr>
          <w:rFonts w:ascii="Times New Roman" w:hAnsi="Times New Roman" w:eastAsia="Times New Roman" w:cs="Times New Roman"/>
          <w:color w:val="auto"/>
          <w:sz w:val="31"/>
          <w:szCs w:val="31"/>
          <w:highlight w:val="none"/>
        </w:rPr>
        <w:t>SO</w:t>
      </w:r>
      <w:r>
        <w:rPr>
          <w:rFonts w:ascii="Times New Roman" w:hAnsi="Times New Roman" w:eastAsia="Times New Roman" w:cs="Times New Roman"/>
          <w:color w:val="auto"/>
          <w:spacing w:val="5"/>
          <w:position w:val="-2"/>
          <w:sz w:val="20"/>
          <w:szCs w:val="20"/>
          <w:highlight w:val="none"/>
        </w:rPr>
        <w:t>2</w:t>
      </w:r>
      <w:r>
        <w:rPr>
          <w:rFonts w:ascii="Times New Roman" w:hAnsi="Times New Roman" w:eastAsia="FangSong_GB2312" w:cs="Times New Roman"/>
          <w:color w:val="auto"/>
          <w:spacing w:val="5"/>
          <w:sz w:val="31"/>
          <w:szCs w:val="31"/>
          <w:highlight w:val="none"/>
        </w:rPr>
        <w:t>、</w:t>
      </w:r>
      <w:r>
        <w:rPr>
          <w:rFonts w:ascii="Times New Roman" w:hAnsi="Times New Roman" w:eastAsia="Times New Roman" w:cs="Times New Roman"/>
          <w:color w:val="auto"/>
          <w:sz w:val="31"/>
          <w:szCs w:val="31"/>
          <w:highlight w:val="none"/>
        </w:rPr>
        <w:t>NOx</w:t>
      </w:r>
      <w:r>
        <w:rPr>
          <w:rFonts w:ascii="Times New Roman" w:hAnsi="Times New Roman" w:eastAsia="FangSong_GB2312" w:cs="Times New Roman"/>
          <w:color w:val="auto"/>
          <w:spacing w:val="5"/>
          <w:sz w:val="31"/>
          <w:szCs w:val="31"/>
          <w:highlight w:val="none"/>
        </w:rPr>
        <w:t>、</w:t>
      </w:r>
      <w:r>
        <w:rPr>
          <w:rFonts w:ascii="Times New Roman" w:hAnsi="Times New Roman" w:eastAsia="Times New Roman" w:cs="Times New Roman"/>
          <w:color w:val="auto"/>
          <w:sz w:val="31"/>
          <w:szCs w:val="31"/>
          <w:highlight w:val="none"/>
        </w:rPr>
        <w:t>VOCs</w:t>
      </w:r>
      <w:r>
        <w:rPr>
          <w:rFonts w:ascii="Times New Roman" w:hAnsi="Times New Roman" w:eastAsia="FangSong_GB2312" w:cs="Times New Roman"/>
          <w:color w:val="auto"/>
          <w:spacing w:val="5"/>
          <w:sz w:val="31"/>
          <w:szCs w:val="31"/>
          <w:highlight w:val="none"/>
        </w:rPr>
        <w:t>实行两倍量削减替代；建设项目为高架源的</w:t>
      </w:r>
      <w:r>
        <w:rPr>
          <w:rFonts w:hint="default" w:ascii="Times New Roman" w:hAnsi="Times New Roman" w:eastAsia="FangSong_GB2312" w:cs="Times New Roman"/>
          <w:color w:val="auto"/>
          <w:spacing w:val="5"/>
          <w:sz w:val="31"/>
          <w:szCs w:val="31"/>
          <w:highlight w:val="none"/>
          <w:lang w:eastAsia="zh-CN"/>
        </w:rPr>
        <w:t>，</w:t>
      </w:r>
      <w:r>
        <w:rPr>
          <w:rFonts w:ascii="Times New Roman" w:hAnsi="Times New Roman" w:eastAsia="FangSong_GB2312" w:cs="Times New Roman"/>
          <w:color w:val="auto"/>
          <w:spacing w:val="5"/>
          <w:sz w:val="31"/>
          <w:szCs w:val="31"/>
          <w:highlight w:val="none"/>
        </w:rPr>
        <w:t>污染物替代指标应</w:t>
      </w:r>
      <w:r>
        <w:rPr>
          <w:rFonts w:ascii="Times New Roman" w:hAnsi="Times New Roman" w:eastAsia="FangSong_GB2312" w:cs="Times New Roman"/>
          <w:color w:val="auto"/>
          <w:spacing w:val="6"/>
          <w:sz w:val="31"/>
          <w:szCs w:val="31"/>
          <w:highlight w:val="none"/>
        </w:rPr>
        <w:t>来源于高架源</w:t>
      </w:r>
      <w:r>
        <w:rPr>
          <w:rFonts w:hint="default" w:ascii="Times New Roman" w:hAnsi="Times New Roman" w:eastAsia="FangSong_GB2312" w:cs="Times New Roman"/>
          <w:color w:val="auto"/>
          <w:spacing w:val="6"/>
          <w:sz w:val="31"/>
          <w:szCs w:val="31"/>
          <w:highlight w:val="none"/>
          <w:lang w:eastAsia="zh-CN"/>
        </w:rPr>
        <w:t>。</w:t>
      </w:r>
      <w:r>
        <w:rPr>
          <w:rFonts w:hint="default" w:ascii="Times New Roman" w:hAnsi="Times New Roman" w:eastAsia="仿宋_GB2312" w:cs="Times New Roman"/>
          <w:b w:val="0"/>
          <w:bCs w:val="0"/>
          <w:color w:val="auto"/>
          <w:sz w:val="32"/>
          <w:szCs w:val="32"/>
          <w:highlight w:val="none"/>
        </w:rPr>
        <w:t>被置换产能项目关停后</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新建项目方可投产</w:t>
      </w:r>
      <w:r>
        <w:rPr>
          <w:rFonts w:hint="default" w:ascii="Times New Roman" w:hAnsi="Times New Roman" w:eastAsia="仿宋_GB2312" w:cs="Times New Roman"/>
          <w:b w:val="0"/>
          <w:bCs w:val="0"/>
          <w:color w:val="auto"/>
          <w:sz w:val="32"/>
          <w:szCs w:val="32"/>
          <w:lang w:eastAsia="zh-CN"/>
        </w:rPr>
        <w:t>。</w:t>
      </w:r>
    </w:p>
    <w:bookmarkEnd w:id="30"/>
    <w:p w14:paraId="533A31E9">
      <w:pPr>
        <w:adjustRightInd w:val="0"/>
        <w:snapToGrid w:val="0"/>
        <w:spacing w:line="620" w:lineRule="exact"/>
        <w:ind w:firstLine="640" w:firstLineChars="200"/>
        <w:rPr>
          <w:rFonts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color w:val="auto"/>
          <w:kern w:val="2"/>
          <w:sz w:val="32"/>
          <w:szCs w:val="32"/>
          <w:lang w:val="en-US" w:eastAsia="zh-CN"/>
        </w:rPr>
        <w:t>2.加快淘汰退出落后产能和限制类工艺装备。</w:t>
      </w:r>
      <w:r>
        <w:rPr>
          <w:rFonts w:hint="default" w:ascii="Times New Roman" w:hAnsi="Times New Roman" w:eastAsia="仿宋_GB2312" w:cs="Times New Roman"/>
          <w:b w:val="0"/>
          <w:bCs w:val="0"/>
          <w:color w:val="auto"/>
          <w:kern w:val="0"/>
          <w:sz w:val="32"/>
          <w:szCs w:val="32"/>
          <w:highlight w:val="none"/>
          <w:lang w:val="en-US" w:eastAsia="zh-CN"/>
        </w:rPr>
        <w:t>严格执行《产业结构调整指导目录（2024年本）》，逐步淘汰落后产能。</w:t>
      </w:r>
      <w:r>
        <w:rPr>
          <w:rFonts w:hint="default" w:ascii="Times New Roman" w:hAnsi="Times New Roman" w:eastAsia="仿宋_GB2312" w:cs="Times New Roman"/>
          <w:b w:val="0"/>
          <w:bCs w:val="0"/>
          <w:color w:val="auto"/>
          <w:kern w:val="0"/>
          <w:sz w:val="32"/>
          <w:szCs w:val="32"/>
          <w:lang w:val="en-US" w:eastAsia="zh-CN"/>
        </w:rPr>
        <w:t>突出能耗、环保、质量、安全、技术等标准引领，积极稳妥推动重点行业结构优化升级。依法依规全面退出淘汰类产能</w:t>
      </w:r>
      <w:r>
        <w:rPr>
          <w:rFonts w:hint="default" w:ascii="Times New Roman" w:hAnsi="Times New Roman" w:eastAsia="仿宋_GB2312" w:cs="Times New Roman"/>
          <w:b w:val="0"/>
          <w:bCs w:val="0"/>
          <w:color w:val="auto"/>
          <w:kern w:val="0"/>
          <w:sz w:val="32"/>
          <w:szCs w:val="32"/>
          <w:highlight w:val="none"/>
          <w:lang w:val="en-US" w:eastAsia="zh-CN"/>
        </w:rPr>
        <w:t>和设备</w:t>
      </w:r>
      <w:r>
        <w:rPr>
          <w:rFonts w:hint="default" w:ascii="Times New Roman" w:hAnsi="Times New Roman" w:eastAsia="仿宋_GB2312" w:cs="Times New Roman"/>
          <w:b w:val="0"/>
          <w:bCs w:val="0"/>
          <w:color w:val="auto"/>
          <w:kern w:val="0"/>
          <w:sz w:val="32"/>
          <w:szCs w:val="32"/>
          <w:lang w:val="en-US" w:eastAsia="zh-CN"/>
        </w:rPr>
        <w:t>、能效低于基准水平</w:t>
      </w:r>
      <w:r>
        <w:rPr>
          <w:rFonts w:hint="default" w:ascii="Times New Roman" w:hAnsi="Times New Roman" w:eastAsia="仿宋_GB2312" w:cs="Times New Roman"/>
          <w:b w:val="0"/>
          <w:bCs w:val="0"/>
          <w:color w:val="auto"/>
          <w:kern w:val="0"/>
          <w:sz w:val="32"/>
          <w:szCs w:val="32"/>
          <w:highlight w:val="none"/>
          <w:lang w:val="en-US" w:eastAsia="zh-CN"/>
        </w:rPr>
        <w:t>（不含煤电项目）</w:t>
      </w:r>
      <w:r>
        <w:rPr>
          <w:rFonts w:hint="default" w:ascii="Times New Roman" w:hAnsi="Times New Roman" w:eastAsia="仿宋_GB2312" w:cs="Times New Roman"/>
          <w:b w:val="0"/>
          <w:bCs w:val="0"/>
          <w:color w:val="auto"/>
          <w:kern w:val="0"/>
          <w:sz w:val="32"/>
          <w:szCs w:val="32"/>
          <w:lang w:val="en-US" w:eastAsia="zh-CN"/>
        </w:rPr>
        <w:t>和</w:t>
      </w:r>
      <w:r>
        <w:rPr>
          <w:rFonts w:hint="default" w:ascii="Times New Roman" w:hAnsi="Times New Roman" w:eastAsia="仿宋_GB2312" w:cs="Times New Roman"/>
          <w:b w:val="0"/>
          <w:bCs w:val="0"/>
          <w:color w:val="auto"/>
          <w:kern w:val="0"/>
          <w:sz w:val="32"/>
          <w:szCs w:val="32"/>
          <w:highlight w:val="none"/>
          <w:lang w:val="en-US" w:eastAsia="zh-CN"/>
        </w:rPr>
        <w:t>污染物排放</w:t>
      </w:r>
      <w:r>
        <w:rPr>
          <w:rFonts w:hint="default" w:ascii="Times New Roman" w:hAnsi="Times New Roman" w:eastAsia="仿宋_GB2312" w:cs="Times New Roman"/>
          <w:b w:val="0"/>
          <w:bCs w:val="0"/>
          <w:color w:val="auto"/>
          <w:kern w:val="0"/>
          <w:sz w:val="32"/>
          <w:szCs w:val="32"/>
          <w:lang w:val="en-US" w:eastAsia="zh-CN"/>
        </w:rPr>
        <w:t>不能稳定达标的存量项目。</w:t>
      </w:r>
      <w:r>
        <w:rPr>
          <w:rFonts w:hint="default" w:ascii="Times New Roman" w:hAnsi="Times New Roman" w:eastAsia="仿宋_GB2312" w:cs="Times New Roman"/>
          <w:b w:val="0"/>
          <w:bCs w:val="0"/>
          <w:color w:val="auto"/>
          <w:kern w:val="0"/>
          <w:sz w:val="32"/>
          <w:szCs w:val="32"/>
          <w:highlight w:val="none"/>
          <w:lang w:val="en-US" w:eastAsia="zh-CN"/>
        </w:rPr>
        <w:t>推动重点行业整合退出一批限制类工艺和装备。巩固“散乱污”企业整治成果，严防死灰复燃，实现动态“清零”。</w:t>
      </w:r>
      <w:r>
        <w:rPr>
          <w:rFonts w:hint="default" w:ascii="Times New Roman" w:hAnsi="Times New Roman" w:eastAsia="仿宋_GB2312" w:cs="Times New Roman"/>
          <w:color w:val="auto"/>
          <w:sz w:val="32"/>
          <w:szCs w:val="32"/>
          <w:highlight w:val="none"/>
          <w:lang w:val="en-US" w:eastAsia="zh-CN"/>
        </w:rPr>
        <w:t>积极开展零碳园区创建，着力构建以园区为主阵地的零碳产业生态体系。</w:t>
      </w:r>
      <w:r>
        <w:rPr>
          <w:rFonts w:hint="default" w:ascii="Times New Roman" w:hAnsi="Times New Roman" w:eastAsia="仿宋_GB2312" w:cs="Times New Roman"/>
          <w:b w:val="0"/>
          <w:bCs w:val="0"/>
          <w:color w:val="auto"/>
          <w:kern w:val="0"/>
          <w:sz w:val="32"/>
          <w:szCs w:val="32"/>
          <w:highlight w:val="none"/>
          <w:lang w:val="en-US" w:eastAsia="zh-CN"/>
        </w:rPr>
        <w:t>推动绿色工厂创建</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到2027年，整合退出产能在</w:t>
      </w:r>
      <w:r>
        <w:rPr>
          <w:rFonts w:hint="eastAsia" w:ascii="Times New Roman" w:hAnsi="Times New Roman" w:eastAsia="仿宋_GB2312" w:cs="Times New Roman"/>
          <w:b w:val="0"/>
          <w:bCs w:val="0"/>
          <w:color w:val="auto"/>
          <w:kern w:val="0"/>
          <w:sz w:val="32"/>
          <w:szCs w:val="32"/>
          <w:highlight w:val="none"/>
          <w:lang w:val="en-US" w:eastAsia="zh-CN"/>
        </w:rPr>
        <w:t>6000万</w:t>
      </w:r>
      <w:r>
        <w:rPr>
          <w:rFonts w:hint="default" w:ascii="Times New Roman" w:hAnsi="Times New Roman" w:eastAsia="仿宋_GB2312" w:cs="Times New Roman"/>
          <w:b w:val="0"/>
          <w:bCs w:val="0"/>
          <w:color w:val="auto"/>
          <w:kern w:val="0"/>
          <w:sz w:val="32"/>
          <w:szCs w:val="32"/>
          <w:highlight w:val="none"/>
          <w:lang w:val="en-US" w:eastAsia="zh-CN"/>
        </w:rPr>
        <w:t>标砖/年以下的烧结砖生产线。</w:t>
      </w:r>
    </w:p>
    <w:p w14:paraId="2C0C5706">
      <w:pPr>
        <w:pStyle w:val="15"/>
        <w:adjustRightInd w:val="0"/>
        <w:snapToGrid w:val="0"/>
        <w:spacing w:line="62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rPr>
        <w:t>3</w:t>
      </w:r>
      <w:r>
        <w:rPr>
          <w:rFonts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rPr>
        <w:t>推动涉气产业集群</w:t>
      </w:r>
      <w:r>
        <w:rPr>
          <w:rFonts w:hint="default" w:ascii="Times New Roman" w:hAnsi="Times New Roman" w:eastAsia="仿宋_GB2312" w:cs="Times New Roman"/>
          <w:b w:val="0"/>
          <w:bCs w:val="0"/>
          <w:color w:val="auto"/>
          <w:kern w:val="2"/>
          <w:sz w:val="32"/>
          <w:szCs w:val="32"/>
          <w:lang w:val="en-US" w:eastAsia="zh-CN"/>
        </w:rPr>
        <w:t>升级改造</w:t>
      </w:r>
      <w:r>
        <w:rPr>
          <w:rFonts w:hint="default"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sz w:val="32"/>
          <w:szCs w:val="32"/>
          <w:highlight w:val="none"/>
        </w:rPr>
        <w:t>加快现有产业集群转型升级</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疏堵结合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分类施治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依法淘汰关停一批、搬迁入园一批、就地改造一批。</w:t>
      </w:r>
      <w:r>
        <w:rPr>
          <w:rFonts w:hint="default" w:ascii="Times New Roman" w:hAnsi="Times New Roman" w:eastAsia="仿宋_GB2312" w:cs="Times New Roman"/>
          <w:b w:val="0"/>
          <w:bCs w:val="0"/>
          <w:color w:val="auto"/>
          <w:sz w:val="32"/>
          <w:szCs w:val="32"/>
          <w:highlight w:val="none"/>
        </w:rPr>
        <w:t>鼓励</w:t>
      </w:r>
      <w:r>
        <w:rPr>
          <w:rFonts w:hint="default" w:ascii="Times New Roman" w:hAnsi="Times New Roman" w:eastAsia="仿宋_GB2312" w:cs="Times New Roman"/>
          <w:b w:val="0"/>
          <w:bCs w:val="0"/>
          <w:color w:val="auto"/>
          <w:sz w:val="32"/>
          <w:szCs w:val="32"/>
          <w:highlight w:val="none"/>
          <w:lang w:val="en-US" w:eastAsia="zh-CN"/>
        </w:rPr>
        <w:t>县市区因地制宜</w:t>
      </w:r>
      <w:r>
        <w:rPr>
          <w:rFonts w:hint="default" w:ascii="Times New Roman" w:hAnsi="Times New Roman" w:eastAsia="仿宋_GB2312" w:cs="Times New Roman"/>
          <w:b w:val="0"/>
          <w:bCs w:val="0"/>
          <w:color w:val="auto"/>
          <w:sz w:val="32"/>
          <w:szCs w:val="32"/>
          <w:highlight w:val="none"/>
        </w:rPr>
        <w:t>建设集中供热中心、集中喷涂中心、</w:t>
      </w:r>
      <w:r>
        <w:rPr>
          <w:rFonts w:hint="default" w:ascii="Times New Roman" w:hAnsi="Times New Roman" w:eastAsia="仿宋_GB2312" w:cs="Times New Roman"/>
          <w:b w:val="0"/>
          <w:bCs w:val="0"/>
          <w:color w:val="auto"/>
          <w:sz w:val="32"/>
          <w:szCs w:val="32"/>
          <w:highlight w:val="none"/>
          <w:lang w:val="en-US" w:eastAsia="zh-CN"/>
        </w:rPr>
        <w:t>有机溶剂集中回收处置中心、</w:t>
      </w:r>
      <w:r>
        <w:rPr>
          <w:rFonts w:hint="default" w:ascii="Times New Roman" w:hAnsi="Times New Roman" w:eastAsia="仿宋_GB2312" w:cs="Times New Roman"/>
          <w:b w:val="0"/>
          <w:bCs w:val="0"/>
          <w:color w:val="auto"/>
          <w:sz w:val="32"/>
          <w:szCs w:val="32"/>
          <w:highlight w:val="none"/>
        </w:rPr>
        <w:t>活性炭集中再生中心等“绿岛”项目</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rPr>
        <w:t>到2027年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完成金属压延加工、建材、家具、印刷、石化化工、铸造、橡胶、塑料、装备及零部件制造等</w:t>
      </w:r>
      <w:r>
        <w:rPr>
          <w:rFonts w:hint="default" w:ascii="Times New Roman" w:hAnsi="Times New Roman" w:eastAsia="仿宋_GB2312" w:cs="Times New Roman"/>
          <w:color w:val="auto"/>
          <w:sz w:val="32"/>
          <w:szCs w:val="32"/>
        </w:rPr>
        <w:t>行业产业集群综合治理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集群PM</w:t>
      </w:r>
      <w:r>
        <w:rPr>
          <w:rFonts w:hint="default" w:ascii="Times New Roman" w:hAnsi="Times New Roman" w:eastAsia="仿宋_GB2312" w:cs="Times New Roman"/>
          <w:color w:val="auto"/>
          <w:sz w:val="32"/>
          <w:szCs w:val="32"/>
          <w:vertAlign w:val="subscript"/>
          <w:lang w:val="en-US" w:eastAsia="zh-CN"/>
        </w:rPr>
        <w:t>2.5</w:t>
      </w:r>
      <w:r>
        <w:rPr>
          <w:rFonts w:hint="default" w:ascii="Times New Roman" w:hAnsi="Times New Roman" w:eastAsia="仿宋_GB2312" w:cs="Times New Roman"/>
          <w:color w:val="auto"/>
          <w:sz w:val="32"/>
          <w:szCs w:val="32"/>
        </w:rPr>
        <w:t>年均浓度达到所在区县平均水平</w:t>
      </w:r>
      <w:r>
        <w:rPr>
          <w:rFonts w:hint="default" w:ascii="Times New Roman" w:hAnsi="Times New Roman" w:eastAsia="仿宋_GB2312" w:cs="Times New Roman"/>
          <w:color w:val="auto"/>
          <w:sz w:val="32"/>
          <w:szCs w:val="32"/>
          <w:lang w:eastAsia="zh-CN"/>
        </w:rPr>
        <w:t>。</w:t>
      </w:r>
    </w:p>
    <w:p w14:paraId="4FBE56DC">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rPr>
      </w:pPr>
      <w:bookmarkStart w:id="31" w:name="_Toc2030_WPSOffice_Level2"/>
      <w:bookmarkStart w:id="32" w:name="_Toc22548"/>
      <w:bookmarkStart w:id="33" w:name="_Toc5981"/>
      <w:bookmarkStart w:id="34" w:name="_Toc32650"/>
      <w:r>
        <w:rPr>
          <w:rFonts w:hint="default" w:ascii="Times New Roman" w:hAnsi="Times New Roman" w:eastAsia="楷体_GB2312" w:cs="Times New Roman"/>
          <w:b w:val="0"/>
          <w:bCs w:val="0"/>
          <w:color w:val="auto"/>
        </w:rPr>
        <w:t>（二）着力调整能源结构</w:t>
      </w:r>
      <w:bookmarkEnd w:id="31"/>
      <w:bookmarkEnd w:id="32"/>
      <w:bookmarkEnd w:id="33"/>
      <w:bookmarkEnd w:id="34"/>
    </w:p>
    <w:p w14:paraId="0F88DA99">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持续实施煤炭消费总量控制。重点削减非电力用煤和分散低效用煤。新、改、扩建涉煤项目依法实行煤炭等量或减量替代，替代措施落实后方可投产。严控新增燃煤机组规模，区域新增用电量主要依靠区域内非化石能源发电和外送电满足。到2027年，煤炭消费总量保持下降趋势，工业炉窑燃料用煤基本淘汰，全面建成高污染燃料禁燃区。</w:t>
      </w:r>
    </w:p>
    <w:p w14:paraId="2060063B">
      <w:pPr>
        <w:adjustRightInd w:val="0"/>
        <w:snapToGrid w:val="0"/>
        <w:spacing w:line="62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highlight w:val="none"/>
          <w:lang w:val="en-US" w:eastAsia="zh-CN"/>
        </w:rPr>
        <w:t>5.大力发展清洁能源。</w:t>
      </w:r>
      <w:r>
        <w:rPr>
          <w:rFonts w:hint="default" w:ascii="Times New Roman" w:hAnsi="Times New Roman" w:eastAsia="仿宋_GB2312" w:cs="Times New Roman"/>
          <w:color w:val="auto"/>
          <w:sz w:val="32"/>
          <w:szCs w:val="32"/>
          <w:lang w:val="en-US" w:eastAsia="zh-CN"/>
        </w:rPr>
        <w:t>“十五五”期间，</w:t>
      </w:r>
      <w:r>
        <w:rPr>
          <w:rFonts w:hint="default" w:ascii="Times New Roman" w:hAnsi="Times New Roman" w:eastAsia="仿宋_GB2312" w:cs="Times New Roman"/>
          <w:color w:val="auto"/>
          <w:sz w:val="32"/>
          <w:szCs w:val="32"/>
          <w:lang w:eastAsia="zh-CN"/>
        </w:rPr>
        <w:t>统筹天然气输配网络布局，推进永清—邢台天然气管道衡水段和冀中十县管网四期等项目建设，强化天然气管网系统的整体输送能力。</w:t>
      </w:r>
      <w:r>
        <w:rPr>
          <w:rFonts w:hint="default" w:ascii="Times New Roman" w:hAnsi="Times New Roman" w:eastAsia="仿宋_GB2312" w:cs="Times New Roman"/>
          <w:color w:val="auto"/>
          <w:sz w:val="32"/>
          <w:szCs w:val="32"/>
          <w:highlight w:val="none"/>
          <w:lang w:eastAsia="zh-CN"/>
        </w:rPr>
        <w:t>稳步推进集中式风电光伏项目建设，充分利用建筑物屋顶、公路边坡等资源发展分布式光伏。结合新能源发展和电网调峰需求，优化储能规模化布局，推进一批电网侧储能项目建设，推动储能与电源、电网协同发展。加快推进氢气提纯等氢能项目建设，积极谋划布局氢能示范应用场景。加快发展生物质天然气，推动武邑县生物质天然气项目加快建设，支持饶阳县生物质天然气项目开展前期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到2027年，全市可再生能源总装机达到**万千瓦以上，可再生能源装机占全部电力装机比重达到**%左右；非化石能源消费占能源消费比重提高到**%以上。到2030年底，全市可再生能源总装机达到**万千瓦以上，可再生能源装机占比达到**%以上，非化石能源消费比重达到**%以上。到2035年，非化石能源占能源消费总量比重进一步提高。</w:t>
      </w:r>
    </w:p>
    <w:p w14:paraId="44B53E2F">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加快推动分散燃煤清洁化。原则上不再新建除集中供暖外的燃煤锅炉和燃用煤、石油焦、渣油、重油等高污染燃料的工业炉窑。推动分散低效生物质锅炉整合升级。持续推进农业种植、养殖、农产品加工等主体散煤替代工作。强化散煤管控，严格销售行为监管，依法查处销售散煤等违法违规行为。开展散煤复燃监督检查，防止散煤复燃。到2027年，全面淘汰65蒸吨/小时及以下工业燃煤锅炉和城市主城区供暖燃煤锅炉，同步做好供暖保障；淘汰燃油锅炉；以煤、石油焦、渣油、重油等为燃料的工业窑炉改为使用电厂热力、工业余热或清洁能源。做好清洁取暖设备运行维护，落实资金补贴长效机制。</w:t>
      </w:r>
    </w:p>
    <w:p w14:paraId="391FD371">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lang w:val="en-US" w:eastAsia="zh-CN"/>
        </w:rPr>
      </w:pPr>
      <w:bookmarkStart w:id="35" w:name="_Toc13153"/>
      <w:bookmarkStart w:id="36" w:name="_Toc17203"/>
      <w:bookmarkStart w:id="37" w:name="_Toc24835"/>
      <w:bookmarkStart w:id="38" w:name="_Toc27813_WPSOffice_Level2"/>
      <w:r>
        <w:rPr>
          <w:rFonts w:hint="default" w:ascii="Times New Roman" w:hAnsi="Times New Roman" w:eastAsia="楷体_GB2312" w:cs="Times New Roman"/>
          <w:b w:val="0"/>
          <w:bCs w:val="0"/>
          <w:color w:val="auto"/>
        </w:rPr>
        <w:t>（三）</w:t>
      </w:r>
      <w:r>
        <w:rPr>
          <w:rFonts w:hint="default" w:ascii="Times New Roman" w:hAnsi="Times New Roman" w:eastAsia="楷体_GB2312" w:cs="Times New Roman"/>
          <w:b w:val="0"/>
          <w:bCs w:val="0"/>
          <w:color w:val="auto"/>
          <w:lang w:val="en-US" w:eastAsia="zh-CN"/>
        </w:rPr>
        <w:t>着力调整交通结构</w:t>
      </w:r>
      <w:bookmarkEnd w:id="35"/>
      <w:bookmarkEnd w:id="36"/>
      <w:bookmarkEnd w:id="37"/>
    </w:p>
    <w:p w14:paraId="38266D62">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7</w:t>
      </w:r>
      <w:r>
        <w:rPr>
          <w:rFonts w:hint="default" w:ascii="Times New Roman" w:hAnsi="Times New Roman" w:eastAsia="仿宋_GB2312" w:cs="Times New Roman"/>
          <w:b w:val="0"/>
          <w:bCs w:val="0"/>
          <w:color w:val="auto"/>
          <w:sz w:val="32"/>
          <w:szCs w:val="32"/>
          <w:lang w:val="en-US" w:eastAsia="zh-CN"/>
        </w:rPr>
        <w:t>.优化货物运输结构。大宗货物中长距离优先采用铁路运输，短距离优先采用封闭式皮带廊道或新能源车运输。探索将清洁运输作为重点行业新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扩建项目审核和监管重点。大宗货物年运量150万吨以上的物流园区及粮食储备库等，原则上要接入铁路专用线或管道。大力推进衡水海伟石化铁路专用线项目、衡水智慧物流港铁路专用线项目建设。</w:t>
      </w:r>
    </w:p>
    <w:p w14:paraId="15AFD1A1">
      <w:pPr>
        <w:adjustRightInd w:val="0"/>
        <w:snapToGrid w:val="0"/>
        <w:spacing w:line="620" w:lineRule="exact"/>
        <w:ind w:firstLine="640"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提升清洁运输比例。火电等重点行业新、改、扩建项目原则上实现清洁运输。重点行业企业、工业园区、产业集群、物流园区和施工工地新增或更新的内部车辆和非道路移动机械原则上采用新能源。到2027年，2家火电清洁运输比例基本实现100%（涉及专用车辆运输危险化学品物料、产品的除外）。</w:t>
      </w:r>
    </w:p>
    <w:p w14:paraId="3F830B95">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highlight w:val="none"/>
          <w:lang w:val="en-US" w:eastAsia="zh-CN"/>
        </w:rPr>
        <w:t>推进柴油机清洁化。加快淘汰国四排放标准货车和国二排放标准非道路移动机械。加快淘汰稀薄燃烧技术燃气货车。在重点行业和物流园区推广新能源中重型货车。主要高</w:t>
      </w:r>
      <w:r>
        <w:rPr>
          <w:rFonts w:hint="default" w:ascii="Times New Roman" w:hAnsi="Times New Roman" w:eastAsia="仿宋_GB2312" w:cs="Times New Roman"/>
          <w:b w:val="0"/>
          <w:bCs w:val="0"/>
          <w:color w:val="auto"/>
          <w:sz w:val="32"/>
          <w:szCs w:val="32"/>
          <w:lang w:val="en-US" w:eastAsia="zh-CN"/>
        </w:rPr>
        <w:t>速公路、普通国省干线等因地制宜建设重型货车超充或换电站。到2027年，新增或更新的生活和建筑垃圾运输车、混凝土搅拌车、校车、通勤车以及3吨以下叉车全面实现新能源化。</w:t>
      </w:r>
    </w:p>
    <w:p w14:paraId="49F6F352">
      <w:pPr>
        <w:adjustRightInd w:val="0"/>
        <w:snapToGrid w:val="0"/>
        <w:spacing w:line="62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w:t>
      </w:r>
      <w:r>
        <w:rPr>
          <w:rFonts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rPr>
        <w:t>加强移动源</w:t>
      </w:r>
      <w:r>
        <w:rPr>
          <w:rFonts w:hint="default" w:ascii="Times New Roman" w:hAnsi="Times New Roman" w:eastAsia="仿宋_GB2312" w:cs="Times New Roman"/>
          <w:b w:val="0"/>
          <w:bCs w:val="0"/>
          <w:color w:val="auto"/>
          <w:sz w:val="32"/>
          <w:szCs w:val="32"/>
          <w:lang w:val="en-US" w:eastAsia="zh-CN"/>
        </w:rPr>
        <w:t>排放</w:t>
      </w:r>
      <w:r>
        <w:rPr>
          <w:rFonts w:hint="default" w:ascii="Times New Roman" w:hAnsi="Times New Roman" w:eastAsia="仿宋_GB2312" w:cs="Times New Roman"/>
          <w:b w:val="0"/>
          <w:bCs w:val="0"/>
          <w:color w:val="auto"/>
          <w:sz w:val="32"/>
          <w:szCs w:val="32"/>
        </w:rPr>
        <w:t>监管。常态化开展机动车检验机构和重点用车单位监督检查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加大柴油货车、机械</w:t>
      </w:r>
      <w:r>
        <w:rPr>
          <w:rFonts w:hint="default" w:ascii="Times New Roman" w:hAnsi="Times New Roman" w:eastAsia="仿宋_GB2312" w:cs="Times New Roman"/>
          <w:b w:val="0"/>
          <w:bCs w:val="0"/>
          <w:color w:val="auto"/>
          <w:sz w:val="32"/>
          <w:szCs w:val="32"/>
          <w:lang w:val="en-US" w:eastAsia="zh-CN"/>
        </w:rPr>
        <w:t>使用</w:t>
      </w:r>
      <w:r>
        <w:rPr>
          <w:rFonts w:hint="default" w:ascii="Times New Roman" w:hAnsi="Times New Roman" w:eastAsia="仿宋_GB2312" w:cs="Times New Roman"/>
          <w:b w:val="0"/>
          <w:bCs w:val="0"/>
          <w:color w:val="auto"/>
          <w:sz w:val="32"/>
          <w:szCs w:val="32"/>
        </w:rPr>
        <w:t>的柴油和尿素质量抽测力度</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开展重型货车污染控制装置使用情况监督核查，建立闭环管理机制督促问题车辆维修复检。对非道路移动机械实行常态化编码登记管理。</w:t>
      </w:r>
      <w:r>
        <w:rPr>
          <w:rFonts w:hint="default" w:ascii="Times New Roman" w:hAnsi="Times New Roman" w:eastAsia="仿宋_GB2312" w:cs="Times New Roman"/>
          <w:b w:val="0"/>
          <w:bCs w:val="0"/>
          <w:color w:val="auto"/>
          <w:sz w:val="32"/>
          <w:szCs w:val="32"/>
        </w:rPr>
        <w:t>将施工工地、物流园区等重点场所纳入禁止使用高排放非道路移动机械的区域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禁用国二及以下排放标准机械</w:t>
      </w:r>
      <w:r>
        <w:rPr>
          <w:rFonts w:hint="default" w:ascii="Times New Roman" w:hAnsi="Times New Roman" w:eastAsia="仿宋_GB2312" w:cs="Times New Roman"/>
          <w:b w:val="0"/>
          <w:bCs w:val="0"/>
          <w:color w:val="auto"/>
          <w:sz w:val="32"/>
          <w:szCs w:val="32"/>
          <w:lang w:eastAsia="zh-CN"/>
        </w:rPr>
        <w:t>。严禁应强制报废、未</w:t>
      </w:r>
      <w:r>
        <w:rPr>
          <w:rFonts w:hint="default" w:ascii="Times New Roman" w:hAnsi="Times New Roman" w:eastAsia="仿宋_GB2312" w:cs="Times New Roman"/>
          <w:b w:val="0"/>
          <w:bCs w:val="0"/>
          <w:color w:val="auto"/>
          <w:sz w:val="32"/>
          <w:szCs w:val="32"/>
          <w:lang w:val="en-US" w:eastAsia="zh-CN"/>
        </w:rPr>
        <w:t>通过定</w:t>
      </w:r>
      <w:r>
        <w:rPr>
          <w:rFonts w:hint="default" w:ascii="Times New Roman" w:hAnsi="Times New Roman" w:eastAsia="仿宋_GB2312" w:cs="Times New Roman"/>
          <w:b w:val="0"/>
          <w:bCs w:val="0"/>
          <w:color w:val="auto"/>
          <w:sz w:val="32"/>
          <w:szCs w:val="32"/>
          <w:lang w:eastAsia="zh-CN"/>
        </w:rPr>
        <w:t>期排放检验、无</w:t>
      </w:r>
      <w:r>
        <w:rPr>
          <w:rFonts w:hint="default" w:ascii="Times New Roman" w:hAnsi="Times New Roman" w:eastAsia="仿宋_GB2312" w:cs="Times New Roman"/>
          <w:b w:val="0"/>
          <w:bCs w:val="0"/>
          <w:color w:val="auto"/>
          <w:sz w:val="32"/>
          <w:szCs w:val="32"/>
          <w:lang w:val="en-US" w:eastAsia="zh-CN"/>
        </w:rPr>
        <w:t>号</w:t>
      </w:r>
      <w:r>
        <w:rPr>
          <w:rFonts w:hint="default" w:ascii="Times New Roman" w:hAnsi="Times New Roman" w:eastAsia="仿宋_GB2312" w:cs="Times New Roman"/>
          <w:b w:val="0"/>
          <w:bCs w:val="0"/>
          <w:color w:val="auto"/>
          <w:sz w:val="32"/>
          <w:szCs w:val="32"/>
          <w:lang w:eastAsia="zh-CN"/>
        </w:rPr>
        <w:t>牌的车辆</w:t>
      </w:r>
      <w:r>
        <w:rPr>
          <w:rFonts w:hint="default" w:ascii="Times New Roman" w:hAnsi="Times New Roman" w:eastAsia="仿宋_GB2312" w:cs="Times New Roman"/>
          <w:b w:val="0"/>
          <w:bCs w:val="0"/>
          <w:color w:val="auto"/>
          <w:sz w:val="32"/>
          <w:szCs w:val="32"/>
          <w:lang w:val="en-US" w:eastAsia="zh-CN"/>
        </w:rPr>
        <w:t>上路行驶或</w:t>
      </w:r>
      <w:r>
        <w:rPr>
          <w:rFonts w:hint="default" w:ascii="Times New Roman" w:hAnsi="Times New Roman" w:eastAsia="仿宋_GB2312" w:cs="Times New Roman"/>
          <w:b w:val="0"/>
          <w:bCs w:val="0"/>
          <w:color w:val="auto"/>
          <w:sz w:val="32"/>
          <w:szCs w:val="32"/>
          <w:lang w:eastAsia="zh-CN"/>
        </w:rPr>
        <w:t>在企业内部使用。</w:t>
      </w:r>
      <w:r>
        <w:rPr>
          <w:rFonts w:hint="default" w:ascii="Times New Roman" w:hAnsi="Times New Roman" w:eastAsia="仿宋_GB2312" w:cs="Times New Roman"/>
          <w:b w:val="0"/>
          <w:bCs w:val="0"/>
          <w:color w:val="auto"/>
          <w:sz w:val="32"/>
          <w:szCs w:val="32"/>
          <w:lang w:val="en-US" w:eastAsia="zh-CN"/>
        </w:rPr>
        <w:t>加强成品油质量监管，全面清理整顿自建油罐、流动加油车和黑加油站点，坚决打击将非标油品作为发动机燃料销售等行为。</w:t>
      </w:r>
    </w:p>
    <w:bookmarkEnd w:id="38"/>
    <w:p w14:paraId="1F8E38B6">
      <w:pPr>
        <w:pStyle w:val="3"/>
        <w:keepNext w:val="0"/>
        <w:keepLines w:val="0"/>
        <w:adjustRightInd w:val="0"/>
        <w:snapToGrid w:val="0"/>
        <w:spacing w:line="620" w:lineRule="exact"/>
        <w:ind w:firstLine="640" w:firstLineChars="200"/>
        <w:rPr>
          <w:rFonts w:hint="default" w:ascii="Times New Roman" w:hAnsi="Times New Roman" w:eastAsia="楷体_GB2312" w:cs="Times New Roman"/>
          <w:b w:val="0"/>
          <w:bCs w:val="0"/>
          <w:color w:val="auto"/>
          <w:lang w:val="en-US" w:eastAsia="zh-CN"/>
        </w:rPr>
      </w:pPr>
      <w:bookmarkStart w:id="39" w:name="_Toc15736"/>
      <w:bookmarkStart w:id="40" w:name="_Toc12437"/>
      <w:bookmarkStart w:id="41" w:name="_Toc2010"/>
      <w:bookmarkStart w:id="42" w:name="OLE_LINK3"/>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四）深化重点行业污染减排</w:t>
      </w:r>
      <w:bookmarkEnd w:id="39"/>
      <w:bookmarkEnd w:id="40"/>
      <w:bookmarkEnd w:id="41"/>
    </w:p>
    <w:bookmarkEnd w:id="42"/>
    <w:p w14:paraId="3109F314">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楷体_GB2312" w:cs="Times New Roman"/>
          <w:b w:val="0"/>
          <w:bCs w:val="0"/>
          <w:color w:val="auto"/>
          <w:spacing w:val="0"/>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11.加快重点行业深度治理。</w:t>
      </w:r>
      <w:r>
        <w:rPr>
          <w:rFonts w:hint="default" w:ascii="Times New Roman" w:hAnsi="Times New Roman" w:eastAsia="仿宋_GB2312" w:cs="Times New Roman"/>
          <w:b w:val="0"/>
          <w:bCs w:val="0"/>
          <w:color w:val="auto"/>
          <w:spacing w:val="5"/>
          <w:kern w:val="2"/>
          <w:sz w:val="32"/>
          <w:szCs w:val="32"/>
          <w:highlight w:val="none"/>
          <w:lang w:val="en-US" w:eastAsia="zh-CN" w:bidi="ar-SA"/>
        </w:rPr>
        <w:t>开展重点行业环保绩效提升行动，发挥环保绩效A级企业引领作用。</w:t>
      </w:r>
      <w:r>
        <w:rPr>
          <w:rFonts w:ascii="Times New Roman" w:hAnsi="Times New Roman" w:eastAsia="FangSong_GB2312" w:cs="Times New Roman"/>
          <w:color w:val="auto"/>
          <w:spacing w:val="5"/>
          <w:sz w:val="31"/>
          <w:szCs w:val="31"/>
        </w:rPr>
        <w:t>推进低效失效大气污染治理设施排查整治和升级更新</w:t>
      </w:r>
      <w:r>
        <w:rPr>
          <w:rFonts w:hint="default" w:ascii="Times New Roman" w:hAnsi="Times New Roman" w:eastAsia="FangSong_GB2312" w:cs="Times New Roman"/>
          <w:color w:val="auto"/>
          <w:spacing w:val="5"/>
          <w:sz w:val="31"/>
          <w:szCs w:val="31"/>
          <w:lang w:eastAsia="zh-CN"/>
        </w:rPr>
        <w:t>。</w:t>
      </w:r>
      <w:r>
        <w:rPr>
          <w:rFonts w:hint="default" w:ascii="Times New Roman" w:hAnsi="Times New Roman" w:eastAsia="仿宋_GB2312" w:cs="Times New Roman"/>
          <w:b w:val="0"/>
          <w:bCs w:val="0"/>
          <w:color w:val="auto"/>
          <w:spacing w:val="5"/>
          <w:kern w:val="2"/>
          <w:sz w:val="32"/>
          <w:szCs w:val="32"/>
          <w:lang w:val="en-US" w:eastAsia="zh-CN" w:bidi="ar-SA"/>
        </w:rPr>
        <w:t>强化工业源烟气脱硫脱硝氨逃逸防控。</w:t>
      </w:r>
      <w:r>
        <w:rPr>
          <w:rFonts w:hint="default" w:ascii="Times New Roman" w:hAnsi="Times New Roman" w:eastAsia="仿宋_GB2312" w:cs="Times New Roman"/>
          <w:b w:val="0"/>
          <w:bCs w:val="0"/>
          <w:color w:val="auto"/>
          <w:spacing w:val="5"/>
          <w:kern w:val="2"/>
          <w:sz w:val="32"/>
          <w:szCs w:val="32"/>
          <w:highlight w:val="none"/>
          <w:lang w:val="en-US" w:eastAsia="zh-CN" w:bidi="ar-SA"/>
        </w:rPr>
        <w:t>到2027年，燃煤电厂及燃煤锅炉完成全流程超低排放改造，燃煤电厂完成并网期间全负荷脱硝改造。</w:t>
      </w:r>
    </w:p>
    <w:p w14:paraId="4DFE42F7">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pacing w:val="0"/>
          <w:kern w:val="2"/>
          <w:sz w:val="32"/>
          <w:szCs w:val="32"/>
          <w:lang w:val="en-US" w:eastAsia="zh-CN" w:bidi="ar-SA"/>
        </w:rPr>
        <w:t>12.</w:t>
      </w:r>
      <w:r>
        <w:rPr>
          <w:rFonts w:hint="default" w:ascii="Times New Roman" w:hAnsi="Times New Roman" w:eastAsia="仿宋_GB2312" w:cs="Times New Roman"/>
          <w:b w:val="0"/>
          <w:bCs w:val="0"/>
          <w:color w:val="auto"/>
          <w:spacing w:val="0"/>
          <w:kern w:val="2"/>
          <w:sz w:val="32"/>
          <w:szCs w:val="32"/>
          <w:highlight w:val="none"/>
          <w:lang w:val="en-US" w:eastAsia="zh-CN" w:bidi="ar-SA"/>
        </w:rPr>
        <w:t>强化VOCs全流程综合治理。</w:t>
      </w:r>
      <w:r>
        <w:rPr>
          <w:rFonts w:hint="default" w:ascii="Times New Roman" w:hAnsi="Times New Roman" w:eastAsia="仿宋_GB2312" w:cs="Times New Roman"/>
          <w:b w:val="0"/>
          <w:bCs w:val="0"/>
          <w:color w:val="auto"/>
          <w:kern w:val="2"/>
          <w:sz w:val="32"/>
          <w:szCs w:val="32"/>
          <w:highlight w:val="none"/>
          <w:lang w:val="en-US" w:eastAsia="zh-CN" w:bidi="ar-SA"/>
        </w:rPr>
        <w:t>聚焦臭氧生成前体物VOCs和NOx协同治理，以化工、工业涂装、包装印刷、玻璃钢、橡胶等重点行业和油品储运销领域为重点，加强VOCs源头替代、过程管控、末端治理，规范吸附设施用炭、换炭和废活性炭资源化利用。严格控制生产和使用高VOCs含量涂料、油墨胶粘剂、清洗剂等建设项目，提高低（无）VOCs含量产品比重。到2027年，汽车、工程机械、家具、汽修、地坪等涂装全面使用低（无）VOC</w:t>
      </w:r>
      <w:r>
        <w:rPr>
          <w:rFonts w:hint="default" w:ascii="Times New Roman" w:hAnsi="Times New Roman" w:eastAsia="仿宋_GB2312" w:cs="Times New Roman"/>
          <w:b w:val="0"/>
          <w:bCs w:val="0"/>
          <w:color w:val="auto"/>
          <w:kern w:val="2"/>
          <w:sz w:val="24"/>
          <w:szCs w:val="24"/>
          <w:highlight w:val="none"/>
          <w:lang w:val="en-US" w:eastAsia="zh-CN" w:bidi="ar-SA"/>
        </w:rPr>
        <w:t>S</w:t>
      </w:r>
      <w:r>
        <w:rPr>
          <w:rFonts w:hint="default" w:ascii="Times New Roman" w:hAnsi="Times New Roman" w:eastAsia="仿宋_GB2312" w:cs="Times New Roman"/>
          <w:b w:val="0"/>
          <w:bCs w:val="0"/>
          <w:color w:val="auto"/>
          <w:kern w:val="2"/>
          <w:sz w:val="32"/>
          <w:szCs w:val="32"/>
          <w:highlight w:val="none"/>
          <w:lang w:val="en-US" w:eastAsia="zh-CN" w:bidi="ar-SA"/>
        </w:rPr>
        <w:t>含量涂料。储罐呼吸阀更换为低泄漏阀门；存储汽油、石脑油、苯、甲苯、二甲苯的内浮顶罐完成罐顶气收集治理，或配备新型高效浮盘并二次密封，相应汽车罐车更换为密封式快速接头；单独收集治理废水逸散的高浓度VOCs废气</w:t>
      </w:r>
      <w:r>
        <w:rPr>
          <w:rFonts w:hint="default" w:ascii="Times New Roman" w:hAnsi="Times New Roman" w:eastAsia="仿宋_GB2312" w:cs="Times New Roman"/>
          <w:b w:val="0"/>
          <w:bCs w:val="0"/>
          <w:color w:val="auto"/>
          <w:kern w:val="2"/>
          <w:sz w:val="32"/>
          <w:szCs w:val="32"/>
          <w:lang w:val="en-US" w:eastAsia="zh-CN" w:bidi="ar-SA"/>
        </w:rPr>
        <w:t>。臭氧污染高发期，</w:t>
      </w:r>
      <w:r>
        <w:rPr>
          <w:rFonts w:hint="default" w:ascii="Times New Roman" w:hAnsi="Times New Roman" w:eastAsia="仿宋_GB2312" w:cs="Times New Roman"/>
          <w:b w:val="0"/>
          <w:bCs w:val="0"/>
          <w:color w:val="auto"/>
          <w:kern w:val="2"/>
          <w:sz w:val="32"/>
          <w:szCs w:val="32"/>
          <w:highlight w:val="none"/>
          <w:lang w:val="en-US" w:eastAsia="zh-CN" w:bidi="ar-SA"/>
        </w:rPr>
        <w:t>适时调整加油站、储油库油品装卸车时间，引导公众错峰加油。</w:t>
      </w:r>
    </w:p>
    <w:p w14:paraId="71B0D5B8">
      <w:pPr>
        <w:pStyle w:val="15"/>
        <w:keepNext w:val="0"/>
        <w:keepLines w:val="0"/>
        <w:pageBreakBefore w:val="0"/>
        <w:widowControl w:val="0"/>
        <w:numPr>
          <w:ilvl w:val="0"/>
          <w:numId w:val="0"/>
        </w:numPr>
        <w:kinsoku/>
        <w:wordWrap/>
        <w:overflowPunct/>
        <w:topLinePunct w:val="0"/>
        <w:autoSpaceDE w:val="0"/>
        <w:autoSpaceDN w:val="0"/>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13.</w:t>
      </w:r>
      <w:r>
        <w:rPr>
          <w:rFonts w:hint="default" w:ascii="Times New Roman" w:hAnsi="Times New Roman" w:eastAsia="仿宋_GB2312" w:cs="Times New Roman"/>
          <w:b w:val="0"/>
          <w:bCs w:val="0"/>
          <w:color w:val="auto"/>
          <w:kern w:val="2"/>
          <w:sz w:val="32"/>
          <w:szCs w:val="32"/>
          <w:highlight w:val="none"/>
          <w:lang w:val="en-US" w:eastAsia="zh-CN" w:bidi="ar-SA"/>
        </w:rPr>
        <w:t>积极应对重污染天气。精准应对长时间大范围重污染过程，采取协商减排等方式，对陶瓷、耐火材料、砖瓦等高排放企业，以及污染物排放量大、能耗高、运输量大、生产可中断的产业集群等，实施差异化生产和运输调控。其中，环保绩效A级和引领性企业实施自主减排；加大对限制类装备或环保绩效等级低企业的生产调控力度；对区域内涉大宗货物运输企业的货车实施运输调控。强化重污染天气应急，按照生态环境部或省生态环境厅通报的预警提示信息，及时落实区域应急联动。加强监督帮扶，压实工作责任，形成全闭环管理。针对短时间难以停产的行业，按照环保绩效水平实行差异化轮流停产减排。完善应急减排清单，实现涉气企业全覆盖。应急减排措施纳入排污许可特殊时段管理，在秋冬季重污染应急响应期间，实施差异化排污许可管控。</w:t>
      </w:r>
    </w:p>
    <w:p w14:paraId="6BC1F34C">
      <w:pPr>
        <w:pStyle w:val="15"/>
        <w:adjustRightInd w:val="0"/>
        <w:snapToGrid w:val="0"/>
        <w:spacing w:line="62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kern w:val="2"/>
          <w:sz w:val="32"/>
          <w:szCs w:val="32"/>
          <w:lang w:val="en-US" w:eastAsia="zh-CN"/>
        </w:rPr>
        <w:t>14</w:t>
      </w:r>
      <w:r>
        <w:rPr>
          <w:rFonts w:ascii="Times New Roman" w:hAnsi="Times New Roman" w:eastAsia="仿宋_GB2312" w:cs="Times New Roman"/>
          <w:b w:val="0"/>
          <w:bCs w:val="0"/>
          <w:color w:val="auto"/>
          <w:kern w:val="2"/>
          <w:sz w:val="32"/>
          <w:szCs w:val="32"/>
        </w:rPr>
        <w:t>.</w:t>
      </w:r>
      <w:r>
        <w:rPr>
          <w:rFonts w:hint="default" w:ascii="Times New Roman" w:hAnsi="Times New Roman" w:eastAsia="仿宋_GB2312" w:cs="Times New Roman"/>
          <w:b w:val="0"/>
          <w:bCs w:val="0"/>
          <w:color w:val="auto"/>
          <w:kern w:val="2"/>
          <w:sz w:val="32"/>
          <w:szCs w:val="32"/>
          <w:lang w:val="en-US" w:eastAsia="zh-CN"/>
        </w:rPr>
        <w:t>提升</w:t>
      </w:r>
      <w:r>
        <w:rPr>
          <w:rFonts w:hint="default" w:ascii="Times New Roman" w:hAnsi="Times New Roman" w:eastAsia="仿宋_GB2312" w:cs="Times New Roman"/>
          <w:b w:val="0"/>
          <w:bCs w:val="0"/>
          <w:color w:val="auto"/>
          <w:kern w:val="2"/>
          <w:sz w:val="32"/>
          <w:szCs w:val="32"/>
          <w:highlight w:val="none"/>
          <w:lang w:val="en-US" w:eastAsia="zh-CN" w:bidi="ar-SA"/>
        </w:rPr>
        <w:t>环境监测监控能力。优化空气质量监测点位，强化运维管理，</w:t>
      </w:r>
      <w:r>
        <w:rPr>
          <w:rFonts w:hint="eastAsia" w:ascii="Times New Roman" w:hAnsi="Times New Roman" w:eastAsia="仿宋_GB2312" w:cs="Times New Roman"/>
          <w:b w:val="0"/>
          <w:bCs w:val="0"/>
          <w:color w:val="auto"/>
          <w:kern w:val="2"/>
          <w:sz w:val="32"/>
          <w:szCs w:val="32"/>
          <w:highlight w:val="none"/>
          <w:lang w:val="en-US" w:eastAsia="zh-CN" w:bidi="ar-SA"/>
        </w:rPr>
        <w:t>提升在线监测设备运行水平，</w:t>
      </w:r>
      <w:r>
        <w:rPr>
          <w:rFonts w:hint="default" w:ascii="Times New Roman" w:hAnsi="Times New Roman" w:eastAsia="仿宋_GB2312" w:cs="Times New Roman"/>
          <w:b w:val="0"/>
          <w:bCs w:val="0"/>
          <w:color w:val="auto"/>
          <w:kern w:val="2"/>
          <w:sz w:val="32"/>
          <w:szCs w:val="32"/>
          <w:highlight w:val="none"/>
          <w:lang w:val="en-US" w:eastAsia="zh-CN" w:bidi="ar-SA"/>
        </w:rPr>
        <w:t>严厉打击人为干扰和监测数据弄虚作假行为。推动企业安装工况监控、用电（用能）监控、视频监控等</w:t>
      </w:r>
      <w:r>
        <w:rPr>
          <w:rFonts w:hint="eastAsia" w:ascii="Times New Roman" w:hAnsi="Times New Roman" w:eastAsia="仿宋_GB2312" w:cs="Times New Roman"/>
          <w:b w:val="0"/>
          <w:bCs w:val="0"/>
          <w:color w:val="auto"/>
          <w:kern w:val="2"/>
          <w:sz w:val="32"/>
          <w:szCs w:val="32"/>
          <w:highlight w:val="none"/>
          <w:lang w:val="en-US" w:eastAsia="zh-CN" w:bidi="ar-SA"/>
        </w:rPr>
        <w:t>，扩大监控范围，筑牢监控防线</w:t>
      </w:r>
      <w:r>
        <w:rPr>
          <w:rFonts w:hint="default" w:ascii="Times New Roman" w:hAnsi="Times New Roman" w:eastAsia="仿宋_GB2312" w:cs="Times New Roman"/>
          <w:color w:val="auto"/>
          <w:sz w:val="32"/>
          <w:szCs w:val="32"/>
          <w:lang w:eastAsia="zh-CN"/>
        </w:rPr>
        <w:t>。</w:t>
      </w:r>
    </w:p>
    <w:p w14:paraId="732EEE55">
      <w:pPr>
        <w:pStyle w:val="3"/>
        <w:adjustRightInd w:val="0"/>
        <w:snapToGrid w:val="0"/>
        <w:spacing w:line="620" w:lineRule="exact"/>
        <w:ind w:firstLine="640" w:firstLineChars="200"/>
        <w:rPr>
          <w:rFonts w:hint="default" w:ascii="Times New Roman" w:hAnsi="Times New Roman" w:eastAsia="楷体_GB2312" w:cs="Times New Roman"/>
          <w:color w:val="auto"/>
          <w:sz w:val="32"/>
          <w:szCs w:val="32"/>
          <w:lang w:eastAsia="zh-CN"/>
        </w:rPr>
      </w:pPr>
      <w:bookmarkStart w:id="43" w:name="_Toc25038"/>
      <w:bookmarkStart w:id="44" w:name="_Toc13083"/>
      <w:bookmarkStart w:id="45" w:name="_Toc15765"/>
      <w:bookmarkStart w:id="46" w:name="_Toc9465"/>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五</w:t>
      </w:r>
      <w:r>
        <w:rPr>
          <w:rFonts w:hint="default" w:ascii="Times New Roman" w:hAnsi="Times New Roman" w:eastAsia="楷体_GB2312" w:cs="Times New Roman"/>
          <w:b w:val="0"/>
          <w:bCs w:val="0"/>
          <w:color w:val="auto"/>
          <w:lang w:eastAsia="zh-CN"/>
        </w:rPr>
        <w:t>）</w:t>
      </w:r>
      <w:r>
        <w:rPr>
          <w:rFonts w:hint="default" w:ascii="Times New Roman" w:hAnsi="Times New Roman" w:eastAsia="楷体_GB2312" w:cs="Times New Roman"/>
          <w:b w:val="0"/>
          <w:bCs w:val="0"/>
          <w:color w:val="auto"/>
          <w:lang w:val="en-US" w:eastAsia="zh-CN"/>
        </w:rPr>
        <w:t>持续整治面源污染</w:t>
      </w:r>
      <w:bookmarkEnd w:id="43"/>
      <w:bookmarkEnd w:id="44"/>
      <w:bookmarkEnd w:id="45"/>
    </w:p>
    <w:p w14:paraId="522621E8">
      <w:pPr>
        <w:keepNext w:val="0"/>
        <w:keepLines w:val="0"/>
        <w:pageBreakBefore w:val="0"/>
        <w:widowControl w:val="0"/>
        <w:kinsoku/>
        <w:wordWrap/>
        <w:overflowPunct/>
        <w:topLinePunct w:val="0"/>
        <w:autoSpaceDE/>
        <w:autoSpaceDN/>
        <w:bidi w:val="0"/>
        <w:adjustRightInd w:val="0"/>
        <w:snapToGrid w:val="0"/>
        <w:spacing w:before="0" w:line="620" w:lineRule="exact"/>
        <w:ind w:left="0"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持</w:t>
      </w:r>
      <w:r>
        <w:rPr>
          <w:rFonts w:hint="default" w:ascii="Times New Roman" w:hAnsi="Times New Roman" w:eastAsia="仿宋_GB2312" w:cs="Times New Roman"/>
          <w:b w:val="0"/>
          <w:bCs w:val="0"/>
          <w:color w:val="auto"/>
          <w:kern w:val="2"/>
          <w:sz w:val="32"/>
          <w:szCs w:val="32"/>
          <w:highlight w:val="none"/>
          <w:lang w:val="en-US" w:eastAsia="zh-CN" w:bidi="ar-SA"/>
        </w:rPr>
        <w:t>续开展扬尘污染治理攻坚。聚焦建筑工地、线性工程建（构）筑物拆除工地、城乡道路和公路、平交路口、城镇裸露地块、建筑垃圾贮存场和物料堆场等8个领域，开展扬尘污染治理，积极推广基坑气膜、装配式道路、全封闭钢板网、全电工地等创新技术应用。扎实抓好全市城乡道路和周边公路清扫保洁，开展道路积尘负荷走航监测。强化施工扬尘“六个百分之百”管理，完善各类扬尘污染控制标准。</w:t>
      </w:r>
    </w:p>
    <w:p w14:paraId="20313570">
      <w:pPr>
        <w:pStyle w:val="15"/>
        <w:adjustRightInd w:val="0"/>
        <w:snapToGrid w:val="0"/>
        <w:spacing w:line="620" w:lineRule="exact"/>
        <w:ind w:firstLine="640" w:firstLineChars="200"/>
        <w:rPr>
          <w:rFonts w:hint="default" w:ascii="Times New Roman" w:hAnsi="Times New Roman" w:eastAsia="楷体_GB2312" w:cs="Times New Roman"/>
          <w:b w:val="0"/>
          <w:bCs w:val="0"/>
          <w:color w:val="auto"/>
          <w:kern w:val="2"/>
          <w:sz w:val="32"/>
          <w:szCs w:val="32"/>
          <w:highlight w:val="none"/>
          <w:lang w:val="en-US"/>
        </w:rPr>
      </w:pPr>
      <w:r>
        <w:rPr>
          <w:rFonts w:hint="default" w:ascii="Times New Roman" w:hAnsi="Times New Roman" w:eastAsia="仿宋_GB2312" w:cs="Times New Roman"/>
          <w:b w:val="0"/>
          <w:bCs w:val="0"/>
          <w:color w:val="auto"/>
          <w:sz w:val="32"/>
          <w:szCs w:val="32"/>
          <w:lang w:val="en-US" w:eastAsia="zh-CN"/>
        </w:rPr>
        <w:t>16.</w:t>
      </w:r>
      <w:r>
        <w:rPr>
          <w:rFonts w:hint="default" w:ascii="Times New Roman" w:hAnsi="Times New Roman" w:eastAsia="仿宋_GB2312" w:cs="Times New Roman"/>
          <w:b w:val="0"/>
          <w:bCs w:val="0"/>
          <w:color w:val="auto"/>
          <w:kern w:val="2"/>
          <w:sz w:val="32"/>
          <w:szCs w:val="32"/>
          <w:highlight w:val="none"/>
        </w:rPr>
        <w:t>推进大气氨污染防控。</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加强畜禽养殖污染控制，积极开展大型规模化畜禽养殖场大气氨排放控制试点治理工作。持续推进畜禽规模养殖场粪污处理设施提档升级，提升畜禽粪污资源化利用水平。</w:t>
      </w:r>
      <w:r>
        <w:rPr>
          <w:rFonts w:hint="default" w:ascii="Times New Roman" w:hAnsi="Times New Roman" w:eastAsia="仿宋_GB2312" w:cs="Times New Roman"/>
          <w:color w:val="auto"/>
          <w:kern w:val="2"/>
          <w:sz w:val="32"/>
          <w:szCs w:val="32"/>
        </w:rPr>
        <w:t>加强种植业氨排放控制</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highlight w:val="none"/>
        </w:rPr>
        <w:t>推广氮肥深施技术、水肥一体化等施肥新方式</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降低氮肥氨排放水平。加强</w:t>
      </w:r>
      <w:r>
        <w:rPr>
          <w:rFonts w:hint="default" w:ascii="Times New Roman" w:hAnsi="Times New Roman" w:eastAsia="仿宋_GB2312" w:cs="Times New Roman"/>
          <w:color w:val="auto"/>
          <w:kern w:val="2"/>
          <w:sz w:val="32"/>
          <w:szCs w:val="32"/>
          <w:highlight w:val="none"/>
          <w:lang w:val="en-US" w:eastAsia="zh-CN"/>
        </w:rPr>
        <w:t>相关</w:t>
      </w:r>
      <w:r>
        <w:rPr>
          <w:rFonts w:hint="default" w:ascii="Times New Roman" w:hAnsi="Times New Roman" w:eastAsia="仿宋_GB2312" w:cs="Times New Roman"/>
          <w:color w:val="auto"/>
          <w:kern w:val="2"/>
          <w:sz w:val="32"/>
          <w:szCs w:val="32"/>
          <w:highlight w:val="none"/>
        </w:rPr>
        <w:t>行业大气氨排放治理</w:t>
      </w:r>
      <w:r>
        <w:rPr>
          <w:rFonts w:hint="default" w:ascii="Times New Roman" w:hAnsi="Times New Roman" w:eastAsia="仿宋_GB2312" w:cs="Times New Roman"/>
          <w:color w:val="auto"/>
          <w:kern w:val="2"/>
          <w:sz w:val="32"/>
          <w:szCs w:val="32"/>
          <w:highlight w:val="none"/>
          <w:lang w:eastAsia="zh-CN"/>
        </w:rPr>
        <w:t>。</w:t>
      </w:r>
    </w:p>
    <w:p w14:paraId="7A8AF57D">
      <w:pPr>
        <w:pStyle w:val="15"/>
        <w:snapToGrid w:val="0"/>
        <w:spacing w:line="62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17.推进秸秆综合利用。健全秸秆收储运体系，强化秸秆科学处置，深入推进秸秆肥料化、饲料化、能源化、基料化、原料化“五化”综合利用。进一步完善秸秆垃圾露天焚烧网格化和长效监管体系，综合运用卫星遥感、高清视频监控、无人机等手段，提高火点监测精准度，确保火点及时处置到位。</w:t>
      </w:r>
    </w:p>
    <w:p w14:paraId="1B1DE90B">
      <w:pPr>
        <w:pStyle w:val="15"/>
        <w:adjustRightInd w:val="0"/>
        <w:snapToGrid w:val="0"/>
        <w:spacing w:line="620" w:lineRule="exact"/>
        <w:ind w:firstLine="640" w:firstLineChars="200"/>
        <w:jc w:val="both"/>
        <w:rPr>
          <w:rFonts w:hint="default" w:ascii="Times New Roman" w:hAnsi="Times New Roman" w:eastAsia="楷体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18.加</w:t>
      </w:r>
      <w:r>
        <w:rPr>
          <w:rFonts w:hint="default" w:ascii="Times New Roman" w:hAnsi="Times New Roman" w:eastAsia="仿宋_GB2312" w:cs="Times New Roman"/>
          <w:b w:val="0"/>
          <w:bCs w:val="0"/>
          <w:color w:val="auto"/>
          <w:sz w:val="32"/>
          <w:szCs w:val="32"/>
          <w:highlight w:val="none"/>
          <w:lang w:val="en-US" w:eastAsia="zh-CN"/>
        </w:rPr>
        <w:t>强餐饮油烟集中治理。深化餐饮油烟整治，规范油烟净化设施的安装和运行，确保稳定达标排放。鼓励第三方运维管理及在线运行监控。鼓励实施第三方运维管理及在线运行监控，依法查处餐饮油烟违法行为，不断提升餐饮油烟治理水平。建成区严禁露天烧烤，</w:t>
      </w:r>
      <w:r>
        <w:rPr>
          <w:rFonts w:hint="eastAsia"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b w:val="0"/>
          <w:bCs w:val="0"/>
          <w:color w:val="auto"/>
          <w:sz w:val="32"/>
          <w:szCs w:val="32"/>
          <w:highlight w:val="none"/>
          <w:lang w:val="en-US" w:eastAsia="zh-CN"/>
        </w:rPr>
        <w:t>违规排放油烟和露天烧烤等行为依法查处。</w:t>
      </w:r>
    </w:p>
    <w:p w14:paraId="3096A4CC">
      <w:pPr>
        <w:pStyle w:val="15"/>
        <w:adjustRightInd w:val="0"/>
        <w:snapToGrid w:val="0"/>
        <w:spacing w:line="620" w:lineRule="exact"/>
        <w:ind w:firstLine="640" w:firstLineChars="200"/>
        <w:jc w:val="both"/>
        <w:rPr>
          <w:rFonts w:hint="default" w:ascii="Times New Roman" w:hAnsi="Times New Roman" w:eastAsia="仿宋_GB2312" w:cs="Times New Roman"/>
          <w:b/>
          <w:bCs/>
          <w:color w:val="auto"/>
          <w:kern w:val="2"/>
          <w:sz w:val="32"/>
          <w:szCs w:val="32"/>
          <w:lang w:eastAsia="zh-CN"/>
        </w:rPr>
      </w:pPr>
      <w:r>
        <w:rPr>
          <w:rFonts w:hint="default" w:ascii="Times New Roman" w:hAnsi="Times New Roman" w:eastAsia="仿宋_GB2312" w:cs="Times New Roman"/>
          <w:b w:val="0"/>
          <w:bCs w:val="0"/>
          <w:color w:val="auto"/>
          <w:kern w:val="2"/>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lang w:val="en-US" w:eastAsia="zh-CN"/>
        </w:rPr>
        <w:t>严格烟花爆竹管控。各县市区严格落实烟花爆竹管控属地责任，公安、应急管理、交通运输、市场监管、生态环境等部门认真履行监管职责，严格烟花爆竹的生产、销售、运输、储存、燃放等环节审批监管和违法行为查处</w:t>
      </w:r>
      <w:r>
        <w:rPr>
          <w:rFonts w:hint="default" w:ascii="Times New Roman" w:hAnsi="Times New Roman" w:eastAsia="仿宋_GB2312" w:cs="Times New Roman"/>
          <w:color w:val="auto"/>
          <w:kern w:val="2"/>
          <w:sz w:val="32"/>
          <w:szCs w:val="32"/>
          <w:lang w:val="en-US" w:eastAsia="zh-CN"/>
        </w:rPr>
        <w:t>。</w:t>
      </w:r>
    </w:p>
    <w:p w14:paraId="6E413A2A">
      <w:pPr>
        <w:pStyle w:val="2"/>
        <w:keepNext w:val="0"/>
        <w:keepLines w:val="0"/>
        <w:spacing w:before="0" w:after="0" w:line="620" w:lineRule="exact"/>
        <w:ind w:firstLine="640" w:firstLineChars="200"/>
        <w:rPr>
          <w:rStyle w:val="14"/>
          <w:rFonts w:ascii="Times New Roman" w:hAnsi="Times New Roman" w:cs="Times New Roman"/>
          <w:b w:val="0"/>
          <w:bCs w:val="0"/>
          <w:color w:val="auto"/>
          <w:sz w:val="32"/>
          <w:szCs w:val="32"/>
          <w:u w:val="none"/>
        </w:rPr>
      </w:pPr>
      <w:bookmarkStart w:id="47" w:name="_Toc15585"/>
      <w:bookmarkStart w:id="48" w:name="_Toc18507"/>
      <w:r>
        <w:rPr>
          <w:rStyle w:val="14"/>
          <w:rFonts w:hint="default" w:ascii="Times New Roman" w:hAnsi="Times New Roman" w:cs="Times New Roman"/>
          <w:b w:val="0"/>
          <w:bCs w:val="0"/>
          <w:color w:val="auto"/>
          <w:sz w:val="32"/>
          <w:szCs w:val="32"/>
          <w:u w:val="none"/>
        </w:rPr>
        <w:t>四、规划实施保障</w:t>
      </w:r>
      <w:bookmarkEnd w:id="46"/>
      <w:bookmarkEnd w:id="47"/>
      <w:bookmarkEnd w:id="48"/>
    </w:p>
    <w:p w14:paraId="1E183A16">
      <w:pPr>
        <w:adjustRightInd w:val="0"/>
        <w:snapToGrid w:val="0"/>
        <w:spacing w:line="6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（一）强化组织领导。</w:t>
      </w:r>
      <w:r>
        <w:rPr>
          <w:rFonts w:hint="default" w:ascii="Times New Roman" w:hAnsi="Times New Roman" w:eastAsia="仿宋_GB2312" w:cs="Times New Roman"/>
          <w:b w:val="0"/>
          <w:bCs w:val="0"/>
          <w:color w:val="auto"/>
          <w:kern w:val="0"/>
          <w:sz w:val="32"/>
          <w:szCs w:val="32"/>
          <w:highlight w:val="none"/>
          <w:lang w:val="en-US" w:eastAsia="zh-CN" w:bidi="ar-SA"/>
        </w:rPr>
        <w:t>各县市区要进一步提高政治站位，切实扛牢辖区空气质量持续改善工作的主体责任，主要负责同志要亲自部署、亲自安排，常态化研究解决整治过程中遇到的重大问题。各县市区要进一步明确各阶段目标任务，细化工作举措，强化要素保障，压实监管责任。市有关部门按职责分工扎实落实各项举措，严格履行监管、督导责任，强化重点、难点工作的指导帮扶，严格把关治理成效。生态环境部门加强工作协调，推动空气质量改善任务落实落地</w:t>
      </w:r>
      <w:r>
        <w:rPr>
          <w:rFonts w:hint="default" w:ascii="Times New Roman" w:hAnsi="Times New Roman" w:eastAsia="仿宋_GB2312" w:cs="Times New Roman"/>
          <w:color w:val="auto"/>
          <w:sz w:val="32"/>
          <w:szCs w:val="32"/>
          <w:lang w:val="en-US" w:eastAsia="zh-CN"/>
        </w:rPr>
        <w:t>。</w:t>
      </w:r>
    </w:p>
    <w:p w14:paraId="33912A77">
      <w:pPr>
        <w:pStyle w:val="15"/>
        <w:adjustRightInd w:val="0"/>
        <w:snapToGrid w:val="0"/>
        <w:spacing w:line="62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2"/>
          <w:sz w:val="32"/>
          <w:szCs w:val="32"/>
          <w:lang w:val="en-US" w:eastAsia="zh-CN" w:bidi="ar-SA"/>
        </w:rPr>
        <w:t>（二）加强政策保障和项目引领。</w:t>
      </w:r>
      <w:r>
        <w:rPr>
          <w:rFonts w:hint="default" w:ascii="Times New Roman" w:hAnsi="Times New Roman" w:eastAsia="仿宋_GB2312" w:cs="Times New Roman"/>
          <w:b w:val="0"/>
          <w:bCs w:val="0"/>
          <w:color w:val="auto"/>
          <w:kern w:val="0"/>
          <w:sz w:val="32"/>
          <w:szCs w:val="32"/>
          <w:highlight w:val="none"/>
          <w:lang w:val="en-US" w:eastAsia="zh-CN" w:bidi="ar-SA"/>
        </w:rPr>
        <w:t>研</w:t>
      </w:r>
      <w:r>
        <w:rPr>
          <w:rFonts w:hint="default" w:ascii="Times New Roman" w:hAnsi="Times New Roman" w:eastAsia="仿宋_GB2312" w:cs="Times New Roman"/>
          <w:color w:val="auto"/>
          <w:spacing w:val="4"/>
          <w:sz w:val="32"/>
          <w:szCs w:val="32"/>
          <w:lang w:val="en-US" w:eastAsia="zh-CN"/>
        </w:rPr>
        <w:t>究出台财政、金融、投资、价格等激励约束政策，鼓励企业提升环保绩效水平。</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各县市区和有关部门要聚焦重点行业企业、重点领域治理、能力建设等方面，强化治本之策，认真谋划一批系统治理和保护工程</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项目</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，积极申请中央大气治理资金和试点建设。</w:t>
      </w:r>
    </w:p>
    <w:p w14:paraId="6A327358">
      <w:pPr>
        <w:tabs>
          <w:tab w:val="left" w:pos="1379"/>
        </w:tabs>
        <w:adjustRightInd w:val="0"/>
        <w:snapToGrid w:val="0"/>
        <w:spacing w:line="620" w:lineRule="exact"/>
        <w:ind w:firstLine="640" w:firstLineChars="200"/>
        <w:rPr>
          <w:rFonts w:hint="default" w:ascii="Times New Roman" w:hAnsi="Times New Roman" w:eastAsia="楷体_GB2312" w:cs="Times New Roman"/>
          <w:b w:val="0"/>
          <w:bCs w:val="0"/>
          <w:color w:val="auto"/>
          <w:kern w:val="2"/>
          <w:sz w:val="32"/>
          <w:szCs w:val="32"/>
          <w:lang w:val="en-US" w:eastAsia="zh-CN"/>
        </w:rPr>
      </w:pPr>
      <w:bookmarkStart w:id="49" w:name="BM2_加强环境监测能力"/>
      <w:bookmarkEnd w:id="49"/>
      <w:bookmarkStart w:id="50" w:name="_Toc13130_WPSOffice_Level2"/>
      <w:bookmarkStart w:id="51" w:name="_Toc15223_WPSOffice_Level2"/>
      <w:bookmarkStart w:id="52" w:name="_Toc5868_WPSOffice_Level2"/>
      <w:r>
        <w:rPr>
          <w:rFonts w:hint="default" w:ascii="Times New Roman" w:hAnsi="Times New Roman" w:eastAsia="楷体_GB2312" w:cs="Times New Roman"/>
          <w:b w:val="0"/>
          <w:bCs w:val="0"/>
          <w:color w:val="auto"/>
          <w:kern w:val="2"/>
          <w:sz w:val="32"/>
          <w:szCs w:val="32"/>
          <w:lang w:val="en-US" w:eastAsia="zh-CN" w:bidi="ar-SA"/>
        </w:rPr>
        <w:t>（三）强化督导检查。</w:t>
      </w:r>
      <w:r>
        <w:rPr>
          <w:rFonts w:hint="default" w:ascii="Times New Roman" w:hAnsi="Times New Roman" w:eastAsia="仿宋_GB2312" w:cs="Times New Roman"/>
          <w:b w:val="0"/>
          <w:bCs w:val="0"/>
          <w:color w:val="auto"/>
          <w:kern w:val="0"/>
          <w:sz w:val="32"/>
          <w:szCs w:val="32"/>
          <w:highlight w:val="none"/>
          <w:lang w:val="en-US" w:eastAsia="zh-CN" w:bidi="ar-SA"/>
        </w:rPr>
        <w:t>各县（市、区）、各有关部门要依法履行大气污染防治监管责任，强化对各类污染源的执法检查，对发现的问题要追根溯源、深挖彻查、整改到位。实施生态环境监督执法正面清单制度，减少现场执法检查频次。对主观恶意违法行为依法严惩重罚，对轻微违法行为依法免予处罚，对守法企业“无事不扰”营造公平竞争环境。开展“送政策、送技术、送服务”、及时做好相关政策标准的宣传解读，为企业升级改造留足合理准备时间，精准帮扶企业污染防治资金申报、治理技术选择和运营管理水平提升，确保经济运行平稳有序</w:t>
      </w:r>
      <w:r>
        <w:rPr>
          <w:rFonts w:hint="default" w:ascii="Times New Roman" w:hAnsi="Times New Roman" w:eastAsia="仿宋_GB2312" w:cs="Times New Roman"/>
          <w:color w:val="auto"/>
          <w:sz w:val="32"/>
          <w:szCs w:val="32"/>
          <w:lang w:eastAsia="zh-CN"/>
        </w:rPr>
        <w:t>。</w:t>
      </w:r>
    </w:p>
    <w:bookmarkEnd w:id="50"/>
    <w:bookmarkEnd w:id="51"/>
    <w:bookmarkEnd w:id="52"/>
    <w:p w14:paraId="5C04B4C1">
      <w:pPr>
        <w:adjustRightInd w:val="0"/>
        <w:snapToGrid w:val="0"/>
        <w:spacing w:line="620" w:lineRule="exact"/>
        <w:ind w:firstLine="640" w:firstLineChars="200"/>
        <w:rPr>
          <w:rFonts w:hint="default" w:ascii="Times New Roman" w:hAnsi="Times New Roman" w:eastAsia="楷体_GB2312" w:cs="Times New Roman"/>
          <w:b w:val="0"/>
          <w:bCs w:val="0"/>
          <w:color w:val="auto"/>
          <w:sz w:val="32"/>
          <w:szCs w:val="32"/>
          <w:lang w:val="en-US" w:eastAsia="zh-CN"/>
        </w:rPr>
      </w:pPr>
      <w:bookmarkStart w:id="53" w:name="_Toc32716_WPSOffice_Level2"/>
      <w:bookmarkStart w:id="54" w:name="_Toc18376_WPSOffice_Level2"/>
      <w:bookmarkStart w:id="55" w:name="_Toc13813_WPSOffice_Level2"/>
      <w:bookmarkStart w:id="56" w:name="_Toc25551_WPSOffice_Level2"/>
      <w:bookmarkStart w:id="57" w:name="_Toc3040_WPSOffice_Level2"/>
      <w:bookmarkStart w:id="58" w:name="_Toc15172_WPSOffice_Level2"/>
      <w:r>
        <w:rPr>
          <w:rFonts w:hint="default" w:ascii="Times New Roman" w:hAnsi="Times New Roman" w:eastAsia="楷体_GB2312" w:cs="Times New Roman"/>
          <w:b w:val="0"/>
          <w:bCs w:val="0"/>
          <w:color w:val="auto"/>
          <w:kern w:val="2"/>
          <w:sz w:val="32"/>
          <w:szCs w:val="32"/>
          <w:lang w:val="en-US" w:eastAsia="zh-CN" w:bidi="ar-SA"/>
        </w:rPr>
        <w:t>（四）强化科技赋能。</w:t>
      </w:r>
      <w:r>
        <w:rPr>
          <w:rFonts w:hint="default" w:ascii="Times New Roman" w:hAnsi="Times New Roman" w:eastAsia="仿宋_GB2312" w:cs="Times New Roman"/>
          <w:b w:val="0"/>
          <w:bCs w:val="0"/>
          <w:color w:val="auto"/>
          <w:kern w:val="0"/>
          <w:sz w:val="32"/>
          <w:szCs w:val="32"/>
          <w:highlight w:val="none"/>
          <w:lang w:val="en-US" w:eastAsia="zh-CN" w:bidi="ar-SA"/>
        </w:rPr>
        <w:t>构建全市高精度、近实时大气污染与温室气体融合排放清单，开展颗粒物组分和挥发性有机物组分监测。持续完善大气环境监管平台功能，推进数据深度融合和应用，不断提升大气污染防治智慧监管能力和水平</w:t>
      </w:r>
      <w:r>
        <w:rPr>
          <w:rFonts w:hint="default" w:ascii="Times New Roman" w:hAnsi="Times New Roman" w:eastAsia="仿宋_GB2312" w:cs="Times New Roman"/>
          <w:b w:val="0"/>
          <w:bCs w:val="0"/>
          <w:color w:val="auto"/>
          <w:sz w:val="32"/>
          <w:szCs w:val="32"/>
          <w:lang w:val="en-US" w:eastAsia="zh-CN"/>
        </w:rPr>
        <w:t>。</w:t>
      </w:r>
    </w:p>
    <w:p w14:paraId="17416DE8">
      <w:pPr>
        <w:widowControl/>
        <w:shd w:val="clear" w:color="auto" w:fill="FFFFFF"/>
        <w:adjustRightInd w:val="0"/>
        <w:snapToGrid w:val="0"/>
        <w:spacing w:after="0" w:line="620" w:lineRule="exact"/>
        <w:ind w:firstLine="560" w:firstLine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kern w:val="2"/>
          <w:sz w:val="32"/>
          <w:szCs w:val="32"/>
          <w:lang w:val="en-US" w:eastAsia="zh-CN" w:bidi="ar-SA"/>
        </w:rPr>
        <w:t>（五）加强宣传教育</w:t>
      </w:r>
      <w:bookmarkEnd w:id="53"/>
      <w:bookmarkEnd w:id="54"/>
      <w:bookmarkEnd w:id="55"/>
      <w:r>
        <w:rPr>
          <w:rFonts w:hint="default" w:ascii="Times New Roman" w:hAnsi="Times New Roman" w:eastAsia="楷体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充分利用电视、报纸、网络等媒介，加大对大气污染防治工作的宣传力度，定期公布空气质量、排污单位信息等情况，及时发布重污染天气预警提示信息等环保信息，健全公众监督、举报奖励及处理反馈机制，鼓励全社会共同参与，凝聚大气污染防治工作合力</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p>
    <w:bookmarkEnd w:id="56"/>
    <w:bookmarkEnd w:id="57"/>
    <w:bookmarkEnd w:id="58"/>
    <w:p w14:paraId="4ED52D90">
      <w:bookmarkStart w:id="59" w:name="_GoBack"/>
      <w:bookmarkEnd w:id="59"/>
    </w:p>
    <w:sectPr>
      <w:pgSz w:w="11906" w:h="16838"/>
      <w:pgMar w:top="1871" w:right="1587" w:bottom="147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A94847-095F-4518-B2E8-89891D5DE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17BE23-EE50-4597-A701-073377549819}"/>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3F3ADD18-1803-4D79-BDBF-0F9A4728FC99}"/>
  </w:font>
  <w:font w:name="方正小标宋简体">
    <w:panose1 w:val="02000000000000000000"/>
    <w:charset w:val="86"/>
    <w:family w:val="auto"/>
    <w:pitch w:val="default"/>
    <w:sig w:usb0="00000001" w:usb1="080E0000" w:usb2="00000000" w:usb3="00000000" w:csb0="00040000" w:csb1="00000000"/>
    <w:embedRegular r:id="rId4" w:fontKey="{00F9CC50-8B27-4601-8B43-4351A0DB2854}"/>
  </w:font>
  <w:font w:name="楷体_GB2312">
    <w:panose1 w:val="02010609030101010101"/>
    <w:charset w:val="86"/>
    <w:family w:val="modern"/>
    <w:pitch w:val="default"/>
    <w:sig w:usb0="00000001" w:usb1="080E0000" w:usb2="00000000" w:usb3="00000000" w:csb0="00040000" w:csb1="00000000"/>
    <w:embedRegular r:id="rId5" w:fontKey="{9FE97C09-6706-452F-B9B9-8532719F6265}"/>
  </w:font>
  <w:font w:name="FangSong_GB2312">
    <w:altName w:val="仿宋_GB2312"/>
    <w:panose1 w:val="02010609030101010101"/>
    <w:charset w:val="86"/>
    <w:family w:val="auto"/>
    <w:pitch w:val="default"/>
    <w:sig w:usb0="00000000" w:usb1="00000000" w:usb2="00000000" w:usb3="00000000" w:csb0="00040000" w:csb1="00000000"/>
    <w:embedRegular r:id="rId6" w:fontKey="{E29D2AC2-5777-4AD6-888D-CCFC96F29E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5BA1">
    <w:pPr>
      <w:pStyle w:val="7"/>
      <w:wordWrap w:val="0"/>
      <w:rPr>
        <w:rFonts w:asci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8EE0C">
    <w:pPr>
      <w:pStyle w:val="7"/>
      <w:ind w:firstLine="280" w:firstLineChars="100"/>
      <w:rPr>
        <w:rFonts w:asci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85F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FF94">
    <w:pPr>
      <w:pStyle w:val="7"/>
      <w:wordWrap w:val="0"/>
      <w:jc w:val="right"/>
      <w:rPr>
        <w:rFonts w:asci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6F77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F6F773">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8F58">
    <w:pPr>
      <w:pStyle w:val="7"/>
      <w:ind w:firstLine="280" w:firstLineChars="100"/>
      <w:rPr>
        <w:rFonts w:ascii="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36A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360AE">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5360AE">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D83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953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62F72"/>
    <w:rsid w:val="05CC3A05"/>
    <w:rsid w:val="0FE64C53"/>
    <w:rsid w:val="129465AA"/>
    <w:rsid w:val="1399374C"/>
    <w:rsid w:val="29EF4256"/>
    <w:rsid w:val="2BBE732C"/>
    <w:rsid w:val="35E653BD"/>
    <w:rsid w:val="401B1A9A"/>
    <w:rsid w:val="40AD5DD8"/>
    <w:rsid w:val="418D55D9"/>
    <w:rsid w:val="45A428DB"/>
    <w:rsid w:val="49D62F72"/>
    <w:rsid w:val="4D6E3F2A"/>
    <w:rsid w:val="4FBA24A4"/>
    <w:rsid w:val="5FCC16DF"/>
    <w:rsid w:val="67895296"/>
    <w:rsid w:val="68814582"/>
    <w:rsid w:val="6F896EBD"/>
    <w:rsid w:val="768A2321"/>
    <w:rsid w:val="78AC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adjustRightInd w:val="0"/>
      <w:snapToGrid w:val="0"/>
      <w:spacing w:before="0" w:after="0" w:line="360" w:lineRule="auto"/>
      <w:ind w:firstLine="880" w:firstLineChars="200"/>
      <w:outlineLvl w:val="0"/>
    </w:pPr>
    <w:rPr>
      <w:rFonts w:eastAsia="黑体"/>
      <w:bCs/>
      <w:kern w:val="44"/>
      <w:sz w:val="32"/>
      <w:szCs w:val="36"/>
    </w:rPr>
  </w:style>
  <w:style w:type="paragraph" w:styleId="3">
    <w:name w:val="heading 2"/>
    <w:basedOn w:val="1"/>
    <w:next w:val="1"/>
    <w:qFormat/>
    <w:uiPriority w:val="99"/>
    <w:pPr>
      <w:keepNext/>
      <w:keepLines/>
      <w:spacing w:line="413" w:lineRule="auto"/>
      <w:outlineLvl w:val="1"/>
    </w:pPr>
    <w:rPr>
      <w:rFonts w:ascii="Arial" w:hAnsi="Arial" w:eastAsia="黑体" w:cs="Arial"/>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qFormat/>
    <w:uiPriority w:val="99"/>
    <w:pPr>
      <w:ind w:left="120"/>
    </w:pPr>
    <w:rPr>
      <w:rFonts w:ascii="仿宋" w:hAnsi="仿宋" w:eastAsia="仿宋" w:cs="仿宋"/>
      <w:sz w:val="28"/>
      <w:szCs w:val="28"/>
    </w:rPr>
  </w:style>
  <w:style w:type="paragraph" w:styleId="6">
    <w:name w:val="Body Text Indent"/>
    <w:basedOn w:val="1"/>
    <w:qFormat/>
    <w:uiPriority w:val="0"/>
    <w:pPr>
      <w:ind w:firstLine="645"/>
    </w:pPr>
    <w:rPr>
      <w:rFonts w:ascii="仿宋_GB2312"/>
      <w:szCs w:val="36"/>
    </w:rPr>
  </w:style>
  <w:style w:type="paragraph" w:styleId="7">
    <w:name w:val="footer"/>
    <w:basedOn w:val="1"/>
    <w:uiPriority w:val="99"/>
    <w:pPr>
      <w:tabs>
        <w:tab w:val="center" w:pos="4153"/>
        <w:tab w:val="right" w:pos="8306"/>
      </w:tabs>
      <w:snapToGrid w:val="0"/>
      <w:jc w:val="left"/>
    </w:pPr>
    <w:rPr>
      <w:sz w:val="18"/>
      <w:szCs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Body Text First Indent 2"/>
    <w:basedOn w:val="6"/>
    <w:qFormat/>
    <w:uiPriority w:val="0"/>
    <w:pPr>
      <w:keepNext w:val="0"/>
      <w:keepLines w:val="0"/>
      <w:widowControl w:val="0"/>
      <w:suppressLineNumbers w:val="0"/>
      <w:spacing w:after="120" w:afterLines="0" w:afterAutospacing="0"/>
      <w:ind w:left="640" w:leftChars="200" w:firstLine="0" w:firstLineChars="0"/>
      <w:jc w:val="both"/>
    </w:pPr>
    <w:rPr>
      <w:rFonts w:hint="default" w:ascii="Times New Roman" w:hAnsi="Times New Roman" w:eastAsia="仿宋_GB2312" w:cs="黑体"/>
      <w:kern w:val="2"/>
      <w:sz w:val="32"/>
      <w:szCs w:val="32"/>
      <w:lang w:val="en-US" w:eastAsia="zh-CN" w:bidi="ar"/>
    </w:rPr>
  </w:style>
  <w:style w:type="character" w:styleId="14">
    <w:name w:val="Hyperlink"/>
    <w:basedOn w:val="13"/>
    <w:qFormat/>
    <w:uiPriority w:val="99"/>
    <w:rPr>
      <w:color w:val="0000FF"/>
      <w:u w:val="single"/>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8433</Words>
  <Characters>9045</Characters>
  <Lines>0</Lines>
  <Paragraphs>0</Paragraphs>
  <TotalTime>9</TotalTime>
  <ScaleCrop>false</ScaleCrop>
  <LinksUpToDate>false</LinksUpToDate>
  <CharactersWithSpaces>9102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2025-10-09T09:30:00Z</dcterms:created>
  <dc:creator>zero</dc:creator>
  <cp:lastModifiedBy>张鲁鲁</cp:lastModifiedBy>
  <dcterms:modified xsi:type="dcterms:W3CDTF">2025-10-13T07:52:25Z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238059A8BB0B4538A57F4B96C18ECEE0_11</vt:lpwstr>
  </property>
  <property fmtid="{D5CDD505-2E9C-101B-9397-08002B2CF9AE}" pid="4" name="KSOTemplateDocerSaveRecord">
    <vt:lpwstr>eyJoZGlkIjoiYTMyMTYzNDA5ZDJhMTVhNTBlY2E5ZTVlZGNmNWZkYTkiLCJ1c2VySWQiOiIxNjM2NDA2NzA1In0=</vt:lpwstr>
  </property>
</Properties>
</file>