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both"/>
        <w:rPr>
          <w:rFonts w:hint="eastAsia" w:ascii="楷体_GB2312" w:hAnsi="楷体_GB2312" w:eastAsia="楷体_GB2312" w:cs="楷体_GB2312"/>
          <w:color w:val="000000"/>
          <w:sz w:val="40"/>
          <w:szCs w:val="40"/>
        </w:rPr>
      </w:pPr>
      <w:r>
        <w:drawing>
          <wp:anchor distT="0" distB="0" distL="114300" distR="114300" simplePos="0" relativeHeight="251659264" behindDoc="1" locked="0" layoutInCell="1" allowOverlap="1">
            <wp:simplePos x="0" y="0"/>
            <wp:positionH relativeFrom="column">
              <wp:posOffset>-1692910</wp:posOffset>
            </wp:positionH>
            <wp:positionV relativeFrom="paragraph">
              <wp:posOffset>-1319530</wp:posOffset>
            </wp:positionV>
            <wp:extent cx="8646795" cy="11107420"/>
            <wp:effectExtent l="0" t="0" r="1905" b="5080"/>
            <wp:wrapNone/>
            <wp:docPr id="15" name="图片 15"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b0a202020202266696c746572223a202230220a7d0a"/>
                    <pic:cNvPicPr>
                      <a:picLocks noChangeAspect="1"/>
                    </pic:cNvPicPr>
                  </pic:nvPicPr>
                  <pic:blipFill>
                    <a:blip r:embed="rId12">
                      <a:lum bright="6000"/>
                    </a:blip>
                    <a:srcRect t="559" b="3637"/>
                    <a:stretch>
                      <a:fillRect/>
                    </a:stretch>
                  </pic:blipFill>
                  <pic:spPr>
                    <a:xfrm>
                      <a:off x="0" y="0"/>
                      <a:ext cx="8646795" cy="11107420"/>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-546735</wp:posOffset>
                </wp:positionH>
                <wp:positionV relativeFrom="paragraph">
                  <wp:posOffset>253365</wp:posOffset>
                </wp:positionV>
                <wp:extent cx="6431280" cy="2862580"/>
                <wp:effectExtent l="0" t="0" r="0" b="0"/>
                <wp:wrapNone/>
                <wp:docPr id="1" name="文本框 1" descr="7b0a2020202022776f7264617274223a20227b5c2269645c223a32353030323136362c5c227469645c223a5c225c227d220a7d0a"/>
                <wp:cNvGraphicFramePr>
                  <a:extLst xmlns:a="http://schemas.openxmlformats.org/drawingml/2006/main">
                    <a:ext uri="{7FBC4E63-A832-4D11-8238-D91031DB1400}">
                      <s:tag xmlns="http://www.wps.cn/officeDocument/2013/wpsCustomData" xmlns:s="http://www.wps.cn/officeDocument/2013/wpsCustomData">
                        <s:item s:name="KSO_DOCER_RESOURCE_TRACE_INFO" s:val="{&quot;id&quot;:&quot;&quot;,&quot;origin&quot;:0,&quot;type&quot;:&quot;wordart&quot;,&quot;user&quot;:&quot;292216292&quot;}"/>
                      </s:tag>
                    </a:ext>
                  </a:extLst>
                </wp:cNvGraphicFramePr>
                <a:graphic xmlns:a="http://schemas.openxmlformats.org/drawingml/2006/main">
                  <a:graphicData uri="http://schemas.microsoft.com/office/word/2010/wordprocessingShape">
                    <wps:wsp>
                      <wps:cNvSpPr txBox="1"/>
                      <wps:spPr>
                        <a:xfrm>
                          <a:off x="0" y="0"/>
                          <a:ext cx="6431280" cy="2862580"/>
                        </a:xfrm>
                        <a:prstGeom prst="rect">
                          <a:avLst/>
                        </a:prstGeom>
                        <a:noFill/>
                        <a:ln>
                          <a:noFill/>
                        </a:ln>
                        <a:effectLst/>
                      </wps:spPr>
                      <wps:txbx>
                        <w:txbxContent>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wps:txbx>
                      <wps:bodyPr upright="1"/>
                    </wps:wsp>
                  </a:graphicData>
                </a:graphic>
              </wp:anchor>
            </w:drawing>
          </mc:Choice>
          <mc:Fallback>
            <w:pict>
              <v:shape id="_x0000_s1026" o:spid="_x0000_s1026" o:spt="202" alt="7b0a2020202022776f7264617274223a20227b5c2269645c223a32353030323136362c5c227469645c223a5c225c227d220a7d0a" type="#_x0000_t202" style="position:absolute;left:0pt;margin-left:-43.05pt;margin-top:19.95pt;height:225.4pt;width:506.4pt;z-index:251660288;mso-width-relative:page;mso-height-relative:page;" filled="f" stroked="f" coordsize="21600,21600" o:gfxdata="UEsFBgAAAAAAAAAAAAAAAAAAAAAAAFBLAwQKAAAAAACHTuJAAAAAAAAAAAAAAAAABAAAAGRycy9Q&#10;SwMEFAAAAAgAh07iQF2yz97YAAAACgEAAA8AAABkcnMvZG93bnJldi54bWxNj8tOwzAQRfdI/IM1&#10;SOxaO6WkdcikCxBbEOUhsXPjaRIRj6PYbcLfY1awHN2je8+Uu9n14kxj6DwjZEsFgrj2tuMG4e31&#10;cbEFEaJha3rPhPBNAXbV5UVpCusnfqHzPjYilXAoDEIb41BIGeqWnAlLPxCn7OhHZ2I6x0ba0Uyp&#10;3PVypVQunek4LbRmoPuW6q/9ySG8Px0/P9bquXlwt8PkZyXZaYl4fZWpOxCR5vgHw69+UocqOR38&#10;iW0QPcJim2cJRbjRGkQC9CrfgDggrLXagKxK+f+F6gdQSwMEFAAAAAgAh07iQKNa9/H2AQAAzgMA&#10;AA4AAABkcnMvZTJvRG9jLnhtbK1TzY6bMBC+V+o7WL43gCGQopCVqmh7qdpKu30AY0ywhH9kO4G8&#10;QPsGPfXSe58rz9Ex0Ox297KHlSXj+Wb8eb6ZYXszyh6duHVCqwonqxgjrphuhDpU+Nv97bsNRs5T&#10;1dBeK17hM3f4Zvf2zXYwJSe6033DLQIS5crBVLjz3pRR5FjHJXUrbbgCZ6utpB5Me4gaSwdgl31E&#10;4jiPBm0bYzXjzgG6n514YbQvIdRtKxjfa3aUXPmZ1fKeepDkOmEc3k3Zti1n/kvbOu5RX2FQ6qcd&#10;HoFzHfZot6XlwVLTCbakQF+SwhNNkgoFj16p9tRTdLTiGZUUzGqnW79iWkazkKkioCKJn9TmrqOG&#10;T1qg1M5ci+5ej5Z9Pn21SDQwCRgpKqHhl58/Lr/+XH5/RwA13DEoV1HHlMTLIkWRtwXJszwpSJER&#10;kgYfKeo1IyR/n2fhm9KUpOs0hkXSJM3TnLCAF9lDRLAnrCEkpkUT09CPwbgS0rozkJgfP+gx5Lbg&#10;DsBQ5rG1MnyhgAj80M3ztZt89IgBmGdpQjbgYuAjm5yswQCe6OG6sc5/5FqicKiwhXGZukhPn5yf&#10;Q/+FhNeUvhV9Dzgte/UfAJwzwqeZW24HJXPG4eTHelxk1Lo5g7qjseLQwcOTvigEQZunDJeRDHP0&#10;2Ibz499w9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Bdss/e2AAAAAoBAAAPAAAAAAAAAAEAIAAA&#10;ADgAAABkcnMvZG93bnJldi54bWxQSwECFAAUAAAACACHTuJAo1r38fYBAADOAwAADgAAAAAAAAAB&#10;ACAAAAA9AQAAZHJzL2Uyb0RvYy54bWxQSwUGAAAAAAYABgBZAQAApQUAAAAA&#10;">
                <v:fill on="f" focussize="0,0"/>
                <v:stroke on="f"/>
                <v:imagedata o:title=""/>
                <o:lock v:ext="edit" aspectratio="f"/>
                <v:textbox>
                  <w:txbxContent>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v:textbox>
              </v:shape>
            </w:pict>
          </mc:Fallback>
        </mc:AlternateContent>
      </w: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left"/>
        <w:rPr>
          <w:rFonts w:hint="eastAsia" w:ascii="楷体_GB2312" w:hAnsi="楷体_GB2312" w:eastAsia="楷体_GB2312" w:cs="楷体_GB2312"/>
          <w:color w:val="000000"/>
          <w:sz w:val="40"/>
          <w:szCs w:val="40"/>
          <w:lang w:val="en-US" w:eastAsia="zh-CN"/>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val="en-US" w:eastAsia="zh-CN"/>
        </w:rPr>
        <w:t>467028</w:t>
      </w:r>
    </w:p>
    <w:p>
      <w:pPr>
        <w:spacing w:line="600" w:lineRule="auto"/>
        <w:jc w:val="left"/>
        <w:rPr>
          <w:rFonts w:hint="eastAsia" w:ascii="楷体_GB2312" w:hAnsi="楷体_GB2312" w:eastAsia="楷体_GB2312" w:cs="楷体_GB2312"/>
          <w:color w:val="000000"/>
          <w:sz w:val="40"/>
          <w:szCs w:val="40"/>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：衡水市生态环境局冀州区分局</w:t>
      </w:r>
    </w:p>
    <w:p>
      <w:pPr>
        <w:spacing w:line="600" w:lineRule="auto"/>
        <w:jc w:val="both"/>
        <w:rPr>
          <w:rFonts w:hint="eastAsia" w:ascii="楷体_GB2312" w:hAnsi="楷体_GB2312" w:eastAsia="楷体_GB2312" w:cs="楷体_GB2312"/>
          <w:color w:val="000000"/>
          <w:sz w:val="40"/>
          <w:szCs w:val="40"/>
        </w:rPr>
        <w:sectPr>
          <w:footerReference r:id="rId3" w:type="default"/>
          <w:pgSz w:w="11906" w:h="16838"/>
          <w:pgMar w:top="2098" w:right="1417" w:bottom="1871" w:left="1417" w:header="851" w:footer="992" w:gutter="0"/>
          <w:pgBorders>
            <w:top w:val="none" w:sz="0" w:space="0"/>
            <w:left w:val="none" w:sz="0" w:space="0"/>
            <w:bottom w:val="none" w:sz="0" w:space="0"/>
            <w:right w:val="none" w:sz="0" w:space="0"/>
          </w:pgBorders>
          <w:cols w:space="720" w:num="1"/>
          <w:docGrid w:type="lines" w:linePitch="312" w:charSpace="0"/>
        </w:sectPr>
      </w:pPr>
    </w:p>
    <w:p>
      <w:pPr>
        <w:spacing w:line="600" w:lineRule="auto"/>
        <w:jc w:val="center"/>
        <w:rPr>
          <w:rFonts w:hint="eastAsia" w:ascii="楷体_GB2312" w:hAnsi="楷体_GB2312" w:eastAsia="楷体_GB2312" w:cs="楷体_GB2312"/>
          <w:color w:val="000000"/>
          <w:sz w:val="40"/>
          <w:szCs w:val="40"/>
        </w:rPr>
      </w:pPr>
    </w:p>
    <w:p>
      <w:pPr>
        <w:rPr>
          <w:rFonts w:hint="eastAsia" w:ascii="黑体" w:hAnsi="黑体" w:eastAsia="黑体" w:cs="黑体"/>
          <w:b/>
          <w:bCs/>
          <w:sz w:val="32"/>
          <w:szCs w:val="36"/>
          <w:highlight w:val="yellow"/>
        </w:rPr>
      </w:pPr>
    </w:p>
    <w:p>
      <w:pPr>
        <w:widowControl/>
        <w:spacing w:before="0" w:beforeLines="0" w:beforeAutospacing="0" w:after="0" w:afterLines="0" w:afterAutospacing="0" w:line="360" w:lineRule="auto"/>
        <w:jc w:val="center"/>
        <w:rPr>
          <w:rFonts w:ascii="Times New Roman" w:eastAsia="方正小标宋_GBK"/>
          <w:sz w:val="72"/>
          <w:szCs w:val="72"/>
        </w:rPr>
      </w:pPr>
      <w:r>
        <w:rPr>
          <w:rFonts w:ascii="Times New Roman" w:eastAsia="方正小标宋_GBK"/>
          <w:b w:val="0"/>
          <w:sz w:val="72"/>
          <w:szCs w:val="72"/>
        </w:rPr>
        <w:t>衡水市生态环境局冀</w:t>
      </w:r>
      <w:r>
        <w:rPr>
          <w:rFonts w:hint="eastAsia" w:ascii="Times New Roman" w:eastAsia="方正小标宋_GBK"/>
          <w:b w:val="0"/>
          <w:sz w:val="72"/>
          <w:szCs w:val="72"/>
          <w:lang w:val="en-US" w:eastAsia="zh-CN"/>
        </w:rPr>
        <w:t>州</w:t>
      </w:r>
      <w:r>
        <w:rPr>
          <w:rFonts w:ascii="Times New Roman" w:eastAsia="方正小标宋_GBK"/>
          <w:b w:val="0"/>
          <w:sz w:val="72"/>
          <w:szCs w:val="72"/>
        </w:rPr>
        <w:t>区分局</w:t>
      </w:r>
    </w:p>
    <w:p>
      <w:pPr>
        <w:widowControl/>
        <w:spacing w:before="0" w:beforeLines="0" w:beforeAutospacing="0" w:after="0" w:afterLines="0" w:afterAutospacing="0" w:line="360" w:lineRule="auto"/>
        <w:jc w:val="center"/>
        <w:rPr>
          <w:rFonts w:ascii="Times New Roman" w:eastAsia="方正小标宋_GBK"/>
          <w:sz w:val="72"/>
          <w:szCs w:val="72"/>
        </w:rPr>
      </w:pPr>
      <w:r>
        <w:rPr>
          <w:rFonts w:ascii="Times New Roman" w:eastAsia="仿宋_GB2312"/>
          <w:b w:val="0"/>
          <w:sz w:val="72"/>
          <w:szCs w:val="72"/>
        </w:rPr>
        <w:t>2024</w:t>
      </w:r>
      <w:r>
        <w:rPr>
          <w:rFonts w:ascii="Times New Roman" w:eastAsia="方正小标宋_GBK"/>
          <w:b w:val="0"/>
          <w:sz w:val="72"/>
          <w:szCs w:val="72"/>
        </w:rPr>
        <w:t>年度部门决算公开文本</w:t>
      </w:r>
    </w:p>
    <w:p>
      <w:pPr>
        <w:spacing w:line="36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480" w:lineRule="auto"/>
        <w:jc w:val="both"/>
        <w:rPr>
          <w:rFonts w:ascii="黑体" w:hAnsi="黑体" w:eastAsia="黑体" w:cs="黑体"/>
          <w:sz w:val="56"/>
          <w:szCs w:val="72"/>
        </w:rPr>
      </w:pPr>
    </w:p>
    <w:p>
      <w:pPr>
        <w:widowControl/>
        <w:spacing w:before="0" w:beforeLines="0" w:beforeAutospacing="0" w:after="0" w:afterLines="0" w:afterAutospacing="0" w:line="360" w:lineRule="auto"/>
        <w:jc w:val="center"/>
        <w:rPr>
          <w:rFonts w:ascii="Times New Roman" w:eastAsia="楷体_GB2312"/>
          <w:b w:val="0"/>
          <w:sz w:val="44"/>
          <w:szCs w:val="44"/>
        </w:rPr>
      </w:pPr>
      <w:r>
        <w:rPr>
          <w:rFonts w:ascii="Times New Roman" w:eastAsia="楷体_GB2312"/>
          <w:b w:val="0"/>
          <w:sz w:val="44"/>
          <w:szCs w:val="44"/>
        </w:rPr>
        <w:t>衡水市生态环境局冀州区分局</w:t>
      </w:r>
    </w:p>
    <w:p>
      <w:pPr>
        <w:widowControl/>
        <w:spacing w:before="0" w:beforeLines="0" w:beforeAutospacing="0" w:after="0" w:afterLines="0" w:afterAutospacing="0" w:line="360" w:lineRule="auto"/>
        <w:jc w:val="center"/>
        <w:rPr>
          <w:rFonts w:ascii="Times New Roman" w:eastAsia="楷体_GB2312"/>
          <w:sz w:val="44"/>
          <w:szCs w:val="44"/>
        </w:rPr>
      </w:pPr>
      <w:r>
        <w:rPr>
          <w:rFonts w:ascii="Times New Roman" w:eastAsia="楷体_GB2312"/>
          <w:b w:val="0"/>
          <w:sz w:val="44"/>
          <w:szCs w:val="44"/>
        </w:rPr>
        <w:t>二〇二五年</w:t>
      </w:r>
      <w:r>
        <w:rPr>
          <w:rFonts w:hint="eastAsia" w:ascii="Times New Roman" w:eastAsia="楷体_GB2312"/>
          <w:b w:val="0"/>
          <w:sz w:val="44"/>
          <w:szCs w:val="44"/>
          <w:lang w:val="en-US" w:eastAsia="zh-CN"/>
        </w:rPr>
        <w:t>十</w:t>
      </w:r>
      <w:r>
        <w:rPr>
          <w:rFonts w:ascii="Times New Roman" w:eastAsia="楷体_GB2312"/>
          <w:b w:val="0"/>
          <w:sz w:val="44"/>
          <w:szCs w:val="44"/>
        </w:rPr>
        <w:t>月</w:t>
      </w:r>
    </w:p>
    <w:p>
      <w:pPr>
        <w:snapToGrid w:val="0"/>
        <w:jc w:val="left"/>
        <w:rPr>
          <w:rFonts w:hint="eastAsia"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pPr>
        <w:snapToGrid w:val="0"/>
        <w:jc w:val="left"/>
        <w:rPr>
          <w:rFonts w:hint="default"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4"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spacing w:line="600" w:lineRule="exact"/>
        <w:jc w:val="left"/>
        <w:rPr>
          <w:rFonts w:ascii="黑体" w:hAnsi="黑体" w:eastAsia="黑体" w:cs="黑体"/>
          <w:bCs/>
          <w:sz w:val="32"/>
          <w:szCs w:val="32"/>
        </w:rPr>
      </w:pPr>
    </w:p>
    <w:p>
      <w:pPr>
        <w:tabs>
          <w:tab w:val="left" w:pos="2728"/>
        </w:tabs>
        <w:jc w:val="center"/>
        <w:rPr>
          <w:rFonts w:ascii="黑体" w:hAnsi="Times New Roman" w:eastAsia="黑体" w:cs="Times New Roman"/>
          <w:sz w:val="48"/>
          <w:szCs w:val="48"/>
        </w:rPr>
      </w:pP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目    录</w:t>
      </w:r>
    </w:p>
    <w:p>
      <w:pPr>
        <w:widowControl/>
        <w:spacing w:after="160" w:line="580" w:lineRule="exact"/>
        <w:ind w:firstLine="640" w:firstLineChars="200"/>
        <w:rPr>
          <w:rFonts w:ascii="Times New Roman" w:hAnsi="Times New Roman" w:eastAsia="黑体" w:cs="Times New Roman"/>
          <w:sz w:val="32"/>
          <w:szCs w:val="32"/>
        </w:rPr>
      </w:pPr>
    </w:p>
    <w:p>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第一部分   单位概况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一、单位职责</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二、机构设置</w:t>
      </w:r>
    </w:p>
    <w:p>
      <w:pPr>
        <w:widowControl/>
        <w:spacing w:before="0" w:beforeLines="0" w:beforeAutospacing="0" w:after="0" w:afterLines="0" w:afterAutospacing="0" w:line="360" w:lineRule="auto"/>
        <w:jc w:val="left"/>
        <w:outlineLvl w:val="0"/>
        <w:rPr>
          <w:rFonts w:ascii="Times New Roman" w:eastAsia="黑体"/>
          <w:sz w:val="32"/>
          <w:szCs w:val="32"/>
        </w:rPr>
      </w:pPr>
      <w:r>
        <w:rPr>
          <w:rFonts w:ascii="Times New Roman" w:eastAsia="黑体"/>
          <w:b w:val="0"/>
          <w:sz w:val="32"/>
          <w:szCs w:val="32"/>
        </w:rPr>
        <w:t>第二部分   2024年度部门决算报表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五、一般公共预算财政拨款支出决算表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六、一般公共预算财政拨款基本支出决算明细表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七、政府性基金预算财政拨款收入支出决算表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八、国有资本经营预算财政拨款支出决算表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九、财政拨款“三公”经费支出决算表</w:t>
      </w:r>
    </w:p>
    <w:p>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第三部分   2024年度部门决算情况说明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五、财政拨款“三公”经费支出决算情况说明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六、机关运行经费支出说明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七、政府采购支出说明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八、国有资产占用情况说明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九、关于2024年度绩效评价情况的说明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十、其他需要说明的情况</w:t>
      </w:r>
    </w:p>
    <w:p>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第四部分   名词解释</w:t>
      </w:r>
    </w:p>
    <w:p>
      <w:pPr>
        <w:widowControl/>
        <w:spacing w:after="160" w:line="580" w:lineRule="exact"/>
        <w:rPr>
          <w:rFonts w:hint="eastAsia" w:ascii="Times New Roman" w:hAnsi="Times New Roman" w:eastAsia="黑体" w:cs="Times New Roman"/>
          <w:sz w:val="32"/>
          <w:szCs w:val="32"/>
          <w:lang w:val="en-US" w:eastAsia="zh-CN"/>
        </w:rPr>
        <w:sectPr>
          <w:headerReference r:id="rId6" w:type="first"/>
          <w:footerReference r:id="rId8" w:type="first"/>
          <w:headerReference r:id="rId5" w:type="default"/>
          <w:footerReference r:id="rId7" w:type="default"/>
          <w:pgSz w:w="11906" w:h="16838"/>
          <w:pgMar w:top="1474" w:right="1531" w:bottom="1474" w:left="1531" w:header="851" w:footer="992" w:gutter="0"/>
          <w:pgBorders>
            <w:top w:val="none" w:sz="0" w:space="0"/>
            <w:left w:val="none" w:sz="0" w:space="0"/>
            <w:bottom w:val="none" w:sz="0" w:space="0"/>
            <w:right w:val="none" w:sz="0" w:space="0"/>
          </w:pgBorders>
          <w:cols w:space="0" w:num="1"/>
          <w:titlePg/>
          <w:docGrid w:type="lines" w:linePitch="312" w:charSpace="0"/>
        </w:sectPr>
      </w:pP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第一部分   单位概况</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一、单位职责</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负责建立健全全区生态环境保护制度。会同有关部门贯彻执行国家和省生态环境方针政策和法律法规。会同有关部门拟订并组织实施全区生态环境政策、规划，起草地方性规章草案。会同有关部门编制并监督实施重点区域、流域、饮用水水源地生态环境规划和水功能区划。 ​</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二、机构设置</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从决算编报单位构成看，纳入2024年度本部门决算汇编范围的独立核算单位（以下简称“单位”）共1个，具体情况如下：</w:t>
      </w:r>
    </w:p>
    <w:tbl>
      <w:tblPr>
        <w:tblStyle w:val="11"/>
        <w:tblpPr w:leftFromText="180" w:rightFromText="180" w:vertAnchor="text" w:horzAnchor="page" w:tblpXSpec="center" w:tblpY="10"/>
        <w:tblOverlap w:val="never"/>
        <w:tblW w:w="9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3485"/>
        <w:gridCol w:w="2445"/>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1218"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4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44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803"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218"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1</w:t>
            </w:r>
          </w:p>
        </w:tc>
        <w:tc>
          <w:tcPr>
            <w:tcW w:w="34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衡水市生态环境局冀州区分局</w:t>
            </w:r>
          </w:p>
        </w:tc>
        <w:tc>
          <w:tcPr>
            <w:tcW w:w="2445" w:type="dxa"/>
          </w:tcPr>
          <w:p>
            <w:pPr>
              <w:spacing w:line="560" w:lineRule="exact"/>
              <w:jc w:val="center"/>
              <w:rPr>
                <w:rFonts w:hint="default" w:ascii="仿宋_GB2312" w:hAnsi="Calibri" w:eastAsia="仿宋_GB2312" w:cs="ArialUnicodeMS"/>
                <w:kern w:val="0"/>
                <w:sz w:val="28"/>
                <w:szCs w:val="28"/>
                <w:lang w:val="en-US" w:eastAsia="zh-CN"/>
              </w:rPr>
            </w:pPr>
            <w:r>
              <w:rPr>
                <w:rFonts w:hint="eastAsia" w:ascii="仿宋_GB2312" w:hAnsi="Calibri" w:eastAsia="仿宋_GB2312" w:cs="ArialUnicodeMS"/>
                <w:kern w:val="0"/>
                <w:sz w:val="28"/>
                <w:szCs w:val="28"/>
                <w:lang w:val="en-US" w:eastAsia="zh-CN"/>
              </w:rPr>
              <w:t>行政单位</w:t>
            </w:r>
          </w:p>
        </w:tc>
        <w:tc>
          <w:tcPr>
            <w:tcW w:w="2803"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全额</w:t>
            </w:r>
          </w:p>
        </w:tc>
      </w:tr>
    </w:tbl>
    <w:p>
      <w:pPr>
        <w:rPr>
          <w:rFonts w:hint="eastAsia" w:ascii="Times New Roman" w:hAnsi="Times New Roman" w:eastAsia="黑体" w:cs="Times New Roman"/>
          <w:sz w:val="32"/>
          <w:szCs w:val="32"/>
          <w:highlight w:val="yellow"/>
        </w:rPr>
      </w:pPr>
      <w:r>
        <w:rPr>
          <w:rFonts w:hint="eastAsia" w:ascii="Times New Roman" w:hAnsi="Times New Roman" w:eastAsia="黑体" w:cs="Times New Roman"/>
          <w:sz w:val="32"/>
          <w:szCs w:val="32"/>
          <w:highlight w:val="yellow"/>
        </w:rPr>
        <w:br w:type="page"/>
      </w: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第二部分   </w:t>
      </w:r>
      <w:r>
        <w:rPr>
          <w:rFonts w:ascii="Times New Roman" w:eastAsia="仿宋_GB2312"/>
          <w:b w:val="0"/>
          <w:sz w:val="44"/>
          <w:szCs w:val="44"/>
        </w:rPr>
        <w:t>2024</w:t>
      </w:r>
      <w:r>
        <w:rPr>
          <w:rFonts w:ascii="Times New Roman" w:eastAsia="黑体"/>
          <w:b w:val="0"/>
          <w:sz w:val="44"/>
          <w:szCs w:val="44"/>
        </w:rPr>
        <w:t>年度部门决算表</w:t>
      </w:r>
    </w:p>
    <w:tbl>
      <w:tblPr>
        <w:tblStyle w:val="11"/>
        <w:tblW w:w="7250" w:type="pct"/>
        <w:tblInd w:w="-18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46"/>
        <w:gridCol w:w="624"/>
        <w:gridCol w:w="611"/>
        <w:gridCol w:w="1317"/>
        <w:gridCol w:w="1628"/>
        <w:gridCol w:w="1547"/>
        <w:gridCol w:w="624"/>
        <w:gridCol w:w="1928"/>
        <w:gridCol w:w="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61" w:hRule="atLeast"/>
        </w:trPr>
        <w:tc>
          <w:tcPr>
            <w:tcW w:w="4985" w:type="pct"/>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57" w:hRule="atLeast"/>
        </w:trPr>
        <w:tc>
          <w:tcPr>
            <w:tcW w:w="4985" w:type="pct"/>
            <w:gridSpan w:val="8"/>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公开</w:t>
            </w:r>
            <w:r>
              <w:rPr>
                <w:rFonts w:hint="eastAsia" w:ascii="Times New Roman" w:hAnsi="Times New Roman" w:eastAsia="宋体" w:cs="Times New Roman"/>
                <w:i w:val="0"/>
                <w:iCs w:val="0"/>
                <w:color w:val="000000"/>
                <w:sz w:val="20"/>
                <w:szCs w:val="20"/>
                <w:highlight w:val="none"/>
                <w:u w:val="none"/>
                <w:lang w:val="en-US" w:eastAsia="zh-CN"/>
              </w:rPr>
              <w:t>01</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51" w:hRule="atLeast"/>
        </w:trPr>
        <w:tc>
          <w:tcPr>
            <w:tcW w:w="1964" w:type="pct"/>
            <w:gridSpan w:val="3"/>
            <w:tcBorders>
              <w:top w:val="nil"/>
              <w:left w:val="nil"/>
              <w:bottom w:val="single" w:color="auto" w:sz="4" w:space="0"/>
              <w:right w:val="nil"/>
            </w:tcBorders>
            <w:noWrap/>
            <w:vAlign w:val="bottom"/>
          </w:tcPr>
          <w:p>
            <w:pPr>
              <w:jc w:val="both"/>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（单位）：衡水市生态环境局冀州区分局</w:t>
            </w:r>
          </w:p>
        </w:tc>
        <w:tc>
          <w:tcPr>
            <w:tcW w:w="1262" w:type="pct"/>
            <w:gridSpan w:val="2"/>
            <w:tcBorders>
              <w:top w:val="nil"/>
              <w:left w:val="nil"/>
              <w:bottom w:val="single" w:color="auto" w:sz="4" w:space="0"/>
              <w:right w:val="nil"/>
            </w:tcBorders>
            <w:noWrap/>
            <w:vAlign w:val="bottom"/>
          </w:tcPr>
          <w:p>
            <w:pPr>
              <w:jc w:val="center"/>
              <w:rPr>
                <w:rFonts w:hint="default" w:ascii="宋体" w:hAnsi="宋体" w:eastAsia="宋体" w:cs="宋体"/>
                <w:i w:val="0"/>
                <w:iCs w:val="0"/>
                <w:color w:val="000000"/>
                <w:kern w:val="0"/>
                <w:sz w:val="20"/>
                <w:szCs w:val="20"/>
                <w:highlight w:val="none"/>
                <w:u w:val="none"/>
                <w:lang w:val="en-US" w:eastAsia="zh-CN" w:bidi="ar"/>
              </w:rPr>
            </w:pPr>
            <w:r>
              <w:rPr>
                <w:rFonts w:hint="eastAsia" w:ascii="Times New Roman" w:hAnsi="Times New Roman" w:eastAsia="宋体" w:cs="Times New Roman"/>
                <w:i w:val="0"/>
                <w:iCs w:val="0"/>
                <w:color w:val="000000"/>
                <w:sz w:val="20"/>
                <w:szCs w:val="20"/>
                <w:highlight w:val="none"/>
                <w:u w:val="none"/>
                <w:lang w:val="en-US" w:eastAsia="zh-CN"/>
              </w:rPr>
              <w:t>2024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757" w:type="pct"/>
            <w:gridSpan w:val="3"/>
            <w:tcBorders>
              <w:top w:val="nil"/>
              <w:left w:val="nil"/>
              <w:bottom w:val="single" w:color="auto" w:sz="4" w:space="0"/>
              <w:right w:val="nil"/>
            </w:tcBorders>
            <w:noWrap/>
            <w:vAlign w:val="bottom"/>
          </w:tcPr>
          <w:p>
            <w:pPr>
              <w:jc w:val="right"/>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544" w:hRule="atLeast"/>
        </w:trPr>
        <w:tc>
          <w:tcPr>
            <w:tcW w:w="2529" w:type="pct"/>
            <w:gridSpan w:val="4"/>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收入</w:t>
            </w:r>
          </w:p>
        </w:tc>
        <w:tc>
          <w:tcPr>
            <w:tcW w:w="2456" w:type="pct"/>
            <w:gridSpan w:val="4"/>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82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82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6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82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1</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6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82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宋体" w:hAnsi="宋体" w:eastAsia="宋体" w:cs="宋体"/>
                <w:i w:val="0"/>
                <w:iCs w:val="0"/>
                <w:color w:val="000000"/>
                <w:sz w:val="20"/>
                <w:szCs w:val="20"/>
                <w:highlight w:val="none"/>
                <w:u w:val="none"/>
                <w:lang w:val="en-US" w:eastAsia="zh-CN"/>
              </w:rPr>
              <w:t>1</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597.88</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四、上级补助收入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五、事业收入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六、经营收入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七、附属单位上缴收入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八、其他收入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28.63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40</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556.39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auto"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826" w:type="pct"/>
            <w:gridSpan w:val="2"/>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auto"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267"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826"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50</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8.70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826" w:type="pct"/>
            <w:gridSpan w:val="2"/>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267"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826"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597.88</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597.88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使用非财政拨款结余（含专用结余）</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结余分配</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60</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597.88</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597.88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注：1.本表反映部门本年度的总收支和年末结转结余情况。</w:t>
            </w:r>
          </w:p>
          <w:p>
            <w:pPr>
              <w:keepNext w:val="0"/>
              <w:keepLines w:val="0"/>
              <w:widowControl/>
              <w:suppressLineNumbers w:val="0"/>
              <w:ind w:firstLine="400" w:firstLineChars="20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2.本套报表金额转换时可能存在尾数误差。</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9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160"/>
        <w:gridCol w:w="1037"/>
        <w:gridCol w:w="1037"/>
        <w:gridCol w:w="1037"/>
        <w:gridCol w:w="964"/>
        <w:gridCol w:w="367"/>
        <w:gridCol w:w="597"/>
        <w:gridCol w:w="1027"/>
        <w:gridCol w:w="9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923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230" w:type="dxa"/>
            <w:gridSpan w:val="10"/>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eastAsia" w:ascii="Times New Roman" w:hAnsi="Times New Roman" w:eastAsia="宋体" w:cs="Times New Roman"/>
                <w:i w:val="0"/>
                <w:iCs w:val="0"/>
                <w:color w:val="000000"/>
                <w:sz w:val="20"/>
                <w:szCs w:val="20"/>
                <w:highlight w:val="none"/>
                <w:u w:val="none"/>
                <w:lang w:val="en-US" w:eastAsia="zh-CN"/>
              </w:rPr>
              <w:t>02</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237" w:type="dxa"/>
            <w:gridSpan w:val="3"/>
            <w:tcBorders>
              <w:top w:val="nil"/>
              <w:left w:val="nil"/>
              <w:bottom w:val="single" w:color="auto" w:sz="4" w:space="0"/>
              <w:right w:val="nil"/>
            </w:tcBorders>
            <w:noWrap/>
            <w:vAlign w:val="bottom"/>
          </w:tcPr>
          <w:p>
            <w:pP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（单位）：衡水市生态环境局冀州区分局                                                                                                         </w:t>
            </w:r>
          </w:p>
        </w:tc>
        <w:tc>
          <w:tcPr>
            <w:tcW w:w="3405" w:type="dxa"/>
            <w:gridSpan w:val="4"/>
            <w:tcBorders>
              <w:top w:val="nil"/>
              <w:left w:val="nil"/>
              <w:bottom w:val="single" w:color="auto" w:sz="4" w:space="0"/>
              <w:right w:val="nil"/>
            </w:tcBorders>
            <w:noWrap/>
            <w:vAlign w:val="bottom"/>
          </w:tcPr>
          <w:p>
            <w:pPr>
              <w:jc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default" w:ascii="Times New Roman" w:hAnsi="Times New Roman" w:eastAsia="方正仿宋_GB2312" w:cs="Times New Roman"/>
                <w:i w:val="0"/>
                <w:iCs w:val="0"/>
                <w:color w:val="000000"/>
                <w:sz w:val="20"/>
                <w:szCs w:val="20"/>
                <w:highlight w:val="none"/>
                <w:u w:val="none"/>
                <w:lang w:val="en-US" w:eastAsia="zh-CN"/>
              </w:rPr>
              <w:t>202</w:t>
            </w:r>
            <w:r>
              <w:rPr>
                <w:rFonts w:hint="eastAsia" w:ascii="Times New Roman" w:hAnsi="Times New Roman" w:eastAsia="方正仿宋_GB2312" w:cs="Times New Roman"/>
                <w:i w:val="0"/>
                <w:iCs w:val="0"/>
                <w:color w:val="000000"/>
                <w:sz w:val="20"/>
                <w:szCs w:val="20"/>
                <w:highlight w:val="none"/>
                <w:u w:val="none"/>
                <w:lang w:val="en-US" w:eastAsia="zh-CN"/>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2588" w:type="dxa"/>
            <w:gridSpan w:val="3"/>
            <w:tcBorders>
              <w:top w:val="nil"/>
              <w:left w:val="nil"/>
              <w:bottom w:val="single" w:color="auto" w:sz="4" w:space="0"/>
              <w:right w:val="nil"/>
            </w:tcBorders>
            <w:noWrap/>
            <w:vAlign w:val="bottom"/>
          </w:tcPr>
          <w:p>
            <w:pPr>
              <w:jc w:val="right"/>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200" w:type="dxa"/>
            <w:gridSpan w:val="2"/>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103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本年收入合计</w:t>
            </w:r>
          </w:p>
        </w:tc>
        <w:tc>
          <w:tcPr>
            <w:tcW w:w="103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财政拨款收入</w:t>
            </w:r>
          </w:p>
        </w:tc>
        <w:tc>
          <w:tcPr>
            <w:tcW w:w="103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上级补助收入</w:t>
            </w:r>
          </w:p>
        </w:tc>
        <w:tc>
          <w:tcPr>
            <w:tcW w:w="964" w:type="dxa"/>
            <w:vMerge w:val="restart"/>
            <w:tcBorders>
              <w:top w:val="single" w:color="auto" w:sz="4" w:space="0"/>
              <w:left w:val="nil"/>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事业收入</w:t>
            </w:r>
          </w:p>
        </w:tc>
        <w:tc>
          <w:tcPr>
            <w:tcW w:w="964" w:type="dxa"/>
            <w:gridSpan w:val="2"/>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经营收入</w:t>
            </w:r>
          </w:p>
        </w:tc>
        <w:tc>
          <w:tcPr>
            <w:tcW w:w="102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附属单位上缴收入</w:t>
            </w:r>
          </w:p>
        </w:tc>
        <w:tc>
          <w:tcPr>
            <w:tcW w:w="964"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16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60" w:type="dxa"/>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60" w:type="dxa"/>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0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9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4</w:t>
            </w:r>
          </w:p>
        </w:tc>
        <w:tc>
          <w:tcPr>
            <w:tcW w:w="96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2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9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597.88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597.88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社会保障和就业支出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28.63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28.63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行政事业单位养老支出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28.63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28.63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行政单位离退休</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17.61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17.61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2080505</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机关事业单位基本养老保险缴费支出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11.02</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11.02</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卫生健康支出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4.17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4.17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行政事业单位医疗</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4.17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4.17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行政单位医疗</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4.17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4.17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节能环保支出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556.39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556.39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环境保护管理事务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556.39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556.39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2110101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行政运行</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89.00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89.00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2110199</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其他环境保护管理事务支出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467.39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467.39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住房保障支出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8.70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8.70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22102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住房改革支出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8.70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8.70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2210201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住房公积金</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8.70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8.70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230"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注：本表反映部门本年度取得的各项收入情况。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黑体" w:hAnsi="黑体" w:eastAsia="黑体" w:cs="宋体"/>
          <w:bCs/>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81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187"/>
        <w:gridCol w:w="1128"/>
        <w:gridCol w:w="126"/>
        <w:gridCol w:w="1000"/>
        <w:gridCol w:w="1126"/>
        <w:gridCol w:w="497"/>
        <w:gridCol w:w="629"/>
        <w:gridCol w:w="1126"/>
        <w:gridCol w:w="14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5000" w:type="pct"/>
            <w:gridSpan w:val="10"/>
            <w:tcBorders>
              <w:top w:val="nil"/>
              <w:left w:val="nil"/>
              <w:bottom w:val="nil"/>
              <w:right w:val="nil"/>
            </w:tcBorders>
            <w:noWrap/>
            <w:vAlign w:val="bottom"/>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br w:type="page"/>
            </w:r>
            <w:r>
              <w:rPr>
                <w:rFonts w:hint="eastAsia" w:ascii="方正仿宋_GB2312" w:hAnsi="方正仿宋_GB2312" w:eastAsia="方正仿宋_GB2312" w:cs="方正仿宋_GB2312"/>
                <w:b w:val="0"/>
                <w:bCs/>
                <w:color w:val="auto"/>
                <w:kern w:val="0"/>
                <w:sz w:val="32"/>
                <w:szCs w:val="32"/>
                <w:highlight w:val="none"/>
                <w:lang w:val="en-US"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000" w:type="pct"/>
            <w:gridSpan w:val="10"/>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03</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862" w:type="pct"/>
            <w:gridSpan w:val="4"/>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（单位）：衡水市生态环境局冀州区分局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1403" w:type="pct"/>
            <w:gridSpan w:val="3"/>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eastAsiaTheme="minorEastAsia"/>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734" w:type="pct"/>
            <w:gridSpan w:val="3"/>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91" w:type="pct"/>
            <w:gridSpan w:val="2"/>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03"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本年支出合计</w:t>
            </w:r>
          </w:p>
        </w:tc>
        <w:tc>
          <w:tcPr>
            <w:tcW w:w="602" w:type="pct"/>
            <w:gridSpan w:val="2"/>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602"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602" w:type="pct"/>
            <w:gridSpan w:val="2"/>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上缴上级支出</w:t>
            </w:r>
          </w:p>
        </w:tc>
        <w:tc>
          <w:tcPr>
            <w:tcW w:w="602"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经营支出</w:t>
            </w:r>
          </w:p>
        </w:tc>
        <w:tc>
          <w:tcPr>
            <w:tcW w:w="795"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635"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60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60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60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0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602"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60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602"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0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795"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91"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597.88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130.49</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467.39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社会保障和就业支出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28.63</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28.63</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行政事业单位养老支出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28.63</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28.63</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行政单位离退休</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17.61</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17.61</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2080505</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机关事业单位基本养老保险缴费支出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11.02</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11.02</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4.17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4.17</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行政事业单位医疗</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4.17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4.17</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行政单位医疗</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4.17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4.17</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节能环保支出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556.39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89.00</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467.39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环境保护管理事务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556.39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89.00</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467.39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89.00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89.00</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2110199</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其他环境保护管理事务支出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467.39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467.39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住房保障支出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8.70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8.70</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住房改革支出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8.70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8.70</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住房公积金</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8.70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8.70</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000" w:type="pct"/>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注：本表反映部门本年度各项支出情况。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7281" w:type="pct"/>
        <w:tblInd w:w="-18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84"/>
        <w:gridCol w:w="624"/>
        <w:gridCol w:w="1427"/>
        <w:gridCol w:w="1659"/>
        <w:gridCol w:w="439"/>
        <w:gridCol w:w="624"/>
        <w:gridCol w:w="458"/>
        <w:gridCol w:w="837"/>
        <w:gridCol w:w="1219"/>
        <w:gridCol w:w="1219"/>
        <w:gridCol w:w="12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31" w:type="pct"/>
            <w:gridSpan w:val="4"/>
            <w:tcBorders>
              <w:top w:val="nil"/>
              <w:left w:val="nil"/>
              <w:bottom w:val="single" w:color="auto" w:sz="4" w:space="0"/>
              <w:right w:val="nil"/>
            </w:tcBorders>
            <w:noWrap/>
            <w:vAlign w:val="bottom"/>
          </w:tcPr>
          <w:p>
            <w:pPr>
              <w:rPr>
                <w:rFonts w:hint="eastAsia" w:ascii="仿宋" w:hAnsi="仿宋" w:eastAsia="仿宋" w:cs="仿宋"/>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（单位）：衡水市生态环境局冀州区分局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649" w:type="pct"/>
            <w:gridSpan w:val="3"/>
            <w:tcBorders>
              <w:top w:val="nil"/>
              <w:left w:val="nil"/>
              <w:bottom w:val="single" w:color="auto" w:sz="4" w:space="0"/>
              <w:right w:val="nil"/>
            </w:tcBorders>
            <w:noWrap/>
            <w:vAlign w:val="bottom"/>
          </w:tcPr>
          <w:p>
            <w:pPr>
              <w:jc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919" w:type="pct"/>
            <w:gridSpan w:val="4"/>
            <w:tcBorders>
              <w:top w:val="nil"/>
              <w:left w:val="nil"/>
              <w:bottom w:val="single" w:color="auto" w:sz="4" w:space="0"/>
              <w:right w:val="nil"/>
            </w:tcBorders>
            <w:noWrap/>
            <w:vAlign w:val="bottom"/>
          </w:tcPr>
          <w:p>
            <w:pPr>
              <w:jc w:val="right"/>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23" w:type="pct"/>
            <w:gridSpan w:val="3"/>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收入</w:t>
            </w:r>
          </w:p>
        </w:tc>
        <w:tc>
          <w:tcPr>
            <w:tcW w:w="3276" w:type="pct"/>
            <w:gridSpan w:val="8"/>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7"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    目</w:t>
            </w:r>
          </w:p>
        </w:tc>
        <w:tc>
          <w:tcPr>
            <w:tcW w:w="26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609"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金额</w:t>
            </w:r>
          </w:p>
        </w:tc>
        <w:tc>
          <w:tcPr>
            <w:tcW w:w="895" w:type="pct"/>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552" w:type="pct"/>
            <w:gridSpan w:val="2"/>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合计</w:t>
            </w:r>
          </w:p>
        </w:tc>
        <w:tc>
          <w:tcPr>
            <w:tcW w:w="520" w:type="pct"/>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一般公共预算财政拨款</w:t>
            </w:r>
          </w:p>
        </w:tc>
        <w:tc>
          <w:tcPr>
            <w:tcW w:w="520" w:type="pct"/>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政府性基金预算财政拨款</w:t>
            </w:r>
          </w:p>
        </w:tc>
        <w:tc>
          <w:tcPr>
            <w:tcW w:w="520" w:type="pct"/>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7"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66"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09"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895"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66"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52" w:type="pct"/>
            <w:gridSpan w:val="2"/>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266"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60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266"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552"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2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2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20" w:type="pct"/>
            <w:tcBorders>
              <w:top w:val="nil"/>
              <w:left w:val="nil"/>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597.88</w:t>
            </w: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40</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28.63</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28.63</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4.17</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4.17</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556.39</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556.39</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auto"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609"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auto"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266"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552" w:type="pct"/>
            <w:gridSpan w:val="2"/>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50</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8.70</w:t>
            </w: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8.70</w:t>
            </w: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609"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266"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552" w:type="pct"/>
            <w:gridSpan w:val="2"/>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597.88</w:t>
            </w: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597.88</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597.88</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年初财政拨款结转和结余</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年末财政拨款结转和结余</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60</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both"/>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63</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6" w:type="pct"/>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609" w:type="pct"/>
            <w:tcBorders>
              <w:top w:val="nil"/>
              <w:left w:val="nil"/>
              <w:bottom w:val="single" w:color="000000" w:sz="8"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597.88</w:t>
            </w:r>
          </w:p>
        </w:tc>
        <w:tc>
          <w:tcPr>
            <w:tcW w:w="895" w:type="pct"/>
            <w:gridSpan w:val="2"/>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6" w:type="pct"/>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64</w:t>
            </w:r>
          </w:p>
        </w:tc>
        <w:tc>
          <w:tcPr>
            <w:tcW w:w="552" w:type="pct"/>
            <w:gridSpan w:val="2"/>
            <w:tcBorders>
              <w:top w:val="nil"/>
              <w:left w:val="nil"/>
              <w:bottom w:val="single" w:color="000000" w:sz="8"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597.88</w:t>
            </w:r>
          </w:p>
        </w:tc>
        <w:tc>
          <w:tcPr>
            <w:tcW w:w="520" w:type="pct"/>
            <w:tcBorders>
              <w:top w:val="nil"/>
              <w:left w:val="nil"/>
              <w:bottom w:val="single" w:color="000000" w:sz="8" w:space="0"/>
              <w:right w:val="single" w:color="000000" w:sz="4" w:space="0"/>
            </w:tcBorders>
            <w:noWrap/>
            <w:vAlign w:val="center"/>
          </w:tcPr>
          <w:p>
            <w:pPr>
              <w:jc w:val="right"/>
              <w:rPr>
                <w:rFonts w:hint="default" w:ascii="Times New Roman" w:hAnsi="Times New Roman" w:cs="Times New Roman"/>
                <w:sz w:val="20"/>
                <w:szCs w:val="20"/>
                <w:highlight w:val="none"/>
              </w:rPr>
            </w:pPr>
          </w:p>
          <w:p>
            <w:pPr>
              <w:jc w:val="right"/>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597.88</w:t>
            </w:r>
          </w:p>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8"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8"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注：本表反映部门本年度一般公共预算财政拨款、政府性基金预算财政拨款和国有资本经营预算财政拨款的总收支和年末结转结余情况。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348" w:type="pct"/>
        <w:tblInd w:w="-6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4"/>
        <w:gridCol w:w="3416"/>
        <w:gridCol w:w="321"/>
        <w:gridCol w:w="924"/>
        <w:gridCol w:w="1002"/>
        <w:gridCol w:w="378"/>
        <w:gridCol w:w="16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5000" w:type="pct"/>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000" w:type="pct"/>
            <w:gridSpan w:val="7"/>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05</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868" w:type="pct"/>
            <w:gridSpan w:val="3"/>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编制（单位）：衡水市生态环境局冀州区分局</w:t>
            </w:r>
          </w:p>
        </w:tc>
        <w:tc>
          <w:tcPr>
            <w:tcW w:w="1541" w:type="pct"/>
            <w:gridSpan w:val="2"/>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590" w:type="pct"/>
            <w:gridSpan w:val="2"/>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3538"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04"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科目代码</w:t>
            </w:r>
          </w:p>
        </w:tc>
        <w:tc>
          <w:tcPr>
            <w:tcW w:w="75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1218"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04"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56"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218"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04"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56"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218"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w:t>
            </w:r>
          </w:p>
        </w:tc>
        <w:tc>
          <w:tcPr>
            <w:tcW w:w="121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597.88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130.49</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467.39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社会保障和就业支出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28.63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28.63</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行政事业单位养老支出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28.63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28.63</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行政单位离退休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17.61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17.61</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机关事业单位基本养老保险缴费支出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11.02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11.02</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4.17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4.17</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4.17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4.17</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4.17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4.17</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节能环保支出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556.39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89.00</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467.39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环境保护管理事务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556.39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89.00</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467.39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89.00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89.00</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2110199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其他环境保护管理事务支出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467.39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467.39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住房保障支出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8.70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8.70</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住房改革支出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8.70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8.70</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住房公积金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8.70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8.70</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000" w:type="pct"/>
            <w:gridSpan w:val="7"/>
            <w:tcBorders>
              <w:top w:val="single" w:color="auto" w:sz="4" w:space="0"/>
              <w:left w:val="nil"/>
              <w:bottom w:val="nil"/>
              <w:right w:val="nil"/>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注：本表反映部门本年度一般公共预算财政拨款支出情况。</w:t>
            </w:r>
          </w:p>
        </w:tc>
      </w:tr>
    </w:tbl>
    <w:p>
      <w:pPr>
        <w:rPr>
          <w:rFonts w:hint="eastAsia" w:ascii="仿宋_GB2312" w:hAnsi="宋体" w:eastAsia="仿宋_GB2312"/>
          <w:b/>
          <w:color w:val="auto"/>
          <w:kern w:val="0"/>
          <w:sz w:val="32"/>
          <w:szCs w:val="32"/>
          <w:highlight w:val="none"/>
        </w:rPr>
      </w:pPr>
    </w:p>
    <w:tbl>
      <w:tblPr>
        <w:tblStyle w:val="11"/>
        <w:tblW w:w="7050" w:type="pct"/>
        <w:tblInd w:w="-16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4"/>
        <w:gridCol w:w="1814"/>
        <w:gridCol w:w="1020"/>
        <w:gridCol w:w="964"/>
        <w:gridCol w:w="438"/>
        <w:gridCol w:w="1376"/>
        <w:gridCol w:w="587"/>
        <w:gridCol w:w="377"/>
        <w:gridCol w:w="964"/>
        <w:gridCol w:w="1814"/>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00" w:type="pct"/>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06</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93" w:type="pct"/>
            <w:gridSpan w:val="5"/>
            <w:tcBorders>
              <w:top w:val="nil"/>
              <w:left w:val="nil"/>
              <w:bottom w:val="single" w:color="auto" w:sz="4" w:space="0"/>
              <w:right w:val="nil"/>
            </w:tcBorders>
            <w:noWrap/>
            <w:vAlign w:val="bottom"/>
          </w:tcPr>
          <w:p>
            <w:pP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（单位）：衡水市生态环境局冀州区分局 </w:t>
            </w:r>
            <w:r>
              <w:rPr>
                <w:rFonts w:hint="eastAsia" w:asciiTheme="minorEastAsia" w:hAnsiTheme="minorEastAsia" w:cstheme="minorEastAsia"/>
                <w:i w:val="0"/>
                <w:iCs w:val="0"/>
                <w:color w:val="000000"/>
                <w:kern w:val="0"/>
                <w:sz w:val="18"/>
                <w:szCs w:val="18"/>
                <w:highlight w:val="none"/>
                <w:u w:val="none"/>
                <w:lang w:val="en-US" w:eastAsia="zh-CN" w:bidi="ar"/>
              </w:rPr>
              <w:t xml:space="preserve">                                                                   </w:t>
            </w:r>
          </w:p>
        </w:tc>
        <w:tc>
          <w:tcPr>
            <w:tcW w:w="865" w:type="pct"/>
            <w:gridSpan w:val="2"/>
            <w:tcBorders>
              <w:top w:val="nil"/>
              <w:left w:val="nil"/>
              <w:bottom w:val="single" w:color="auto" w:sz="4" w:space="0"/>
              <w:right w:val="nil"/>
            </w:tcBorders>
            <w:noWrap/>
            <w:vAlign w:val="bottom"/>
          </w:tcPr>
          <w:p>
            <w:pPr>
              <w:jc w:val="center"/>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cstheme="minorEastAsia"/>
                <w:i w:val="0"/>
                <w:iCs w:val="0"/>
                <w:color w:val="000000"/>
                <w:kern w:val="0"/>
                <w:sz w:val="18"/>
                <w:szCs w:val="18"/>
                <w:highlight w:val="none"/>
                <w:u w:val="none"/>
                <w:lang w:val="en-US" w:eastAsia="zh-CN" w:bidi="ar"/>
              </w:rPr>
              <w:t>2024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1841" w:type="pct"/>
            <w:gridSpan w:val="4"/>
            <w:tcBorders>
              <w:top w:val="nil"/>
              <w:left w:val="nil"/>
              <w:bottom w:val="single" w:color="auto" w:sz="4" w:space="0"/>
              <w:right w:val="nil"/>
            </w:tcBorders>
            <w:noWrap/>
            <w:vAlign w:val="bottom"/>
          </w:tcPr>
          <w:p>
            <w:pPr>
              <w:jc w:val="right"/>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74" w:type="pct"/>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w:t>
            </w:r>
          </w:p>
        </w:tc>
        <w:tc>
          <w:tcPr>
            <w:tcW w:w="3325" w:type="pct"/>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102.79</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10.08</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债务利息及费用支出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基本工资</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33.05</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1.80</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国内债务付息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津贴补贴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22.87</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印刷费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国外债务付息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奖金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22.68</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咨询费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30106</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伙食补助费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手续费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房屋建筑物购建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绩效工资</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水费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机关事业单位基本养老保险缴费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11.02</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职业年金缴费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邮电费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0.67</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31005</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基础设施建设</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职工基本医疗保险缴费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4.17</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取暖费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31006</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大型修缮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公务员医疗补助缴费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物业管理费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信息网络及软件购置更新</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其他社会保障缴费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0.31</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差旅费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物资储备</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住房公积金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8.70</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土地补偿</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30114</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维修（护）费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安置补助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租赁费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地上附着物和青苗补偿</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17.61</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会议费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拆迁补偿</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离休费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培训费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退休费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17.61</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其他交通工具购置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退职（役）费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专用材料费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文物和陈列品购置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30304</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抚恤金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被装购置费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无形资产购置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30305</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生活补助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专用燃料费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30306</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救济费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劳务费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委托业务费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资本金注入</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助学金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工会经费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0.58</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政府投资基金股权投资</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奖励金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福利费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0.90</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31204</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费用补贴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个人农业生产补贴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1.49</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31205</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利息补贴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代缴社会保险费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4.64</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30240</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税金及附加费用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30299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国家赔偿费用支出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对民间非营利组织和群众性自治组织补贴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经常性赠与</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资本性赠与</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25" w:type="pct"/>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eastAsiaTheme="minorEastAsia"/>
                <w:sz w:val="18"/>
                <w:szCs w:val="18"/>
                <w:highlight w:val="none"/>
                <w:lang w:val="en-US" w:eastAsia="zh-CN"/>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120.40</w:t>
            </w:r>
          </w:p>
        </w:tc>
        <w:tc>
          <w:tcPr>
            <w:tcW w:w="2875" w:type="pct"/>
            <w:gridSpan w:val="7"/>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00" w:type="pct"/>
            <w:gridSpan w:val="11"/>
            <w:tcBorders>
              <w:top w:val="single" w:color="auto" w:sz="4" w:space="0"/>
              <w:left w:val="nil"/>
              <w:bottom w:val="nil"/>
              <w:right w:val="nil"/>
            </w:tcBorders>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注：本表反映部门本年度一般公共预算财政拨款基本支出明细情况。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6517" w:type="pct"/>
        <w:tblInd w:w="-14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1474"/>
        <w:gridCol w:w="1306"/>
        <w:gridCol w:w="1027"/>
        <w:gridCol w:w="1107"/>
        <w:gridCol w:w="418"/>
        <w:gridCol w:w="702"/>
        <w:gridCol w:w="1146"/>
        <w:gridCol w:w="2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07</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7" w:type="pct"/>
            <w:gridSpan w:val="3"/>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（单位）：衡水市生态环境局冀州区分局 </w:t>
            </w: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1217" w:type="pct"/>
            <w:gridSpan w:val="3"/>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854" w:type="pct"/>
            <w:gridSpan w:val="3"/>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23"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489"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w:t>
            </w:r>
          </w:p>
        </w:tc>
        <w:tc>
          <w:tcPr>
            <w:tcW w:w="1609" w:type="pct"/>
            <w:gridSpan w:val="4"/>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c>
          <w:tcPr>
            <w:tcW w:w="973" w:type="pct"/>
            <w:vMerge w:val="restart"/>
            <w:tcBorders>
              <w:top w:val="single" w:color="auto" w:sz="4" w:space="0"/>
              <w:left w:val="nil"/>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703"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6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534" w:type="pct"/>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54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973" w:type="pct"/>
            <w:vMerge w:val="continue"/>
            <w:tcBorders>
              <w:left w:val="nil"/>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结转</w:t>
            </w:r>
          </w:p>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3"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34"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46"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73" w:type="pct"/>
            <w:vMerge w:val="continue"/>
            <w:tcBorders>
              <w:left w:val="nil"/>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3" w:type="pct"/>
            <w:vMerge w:val="continue"/>
            <w:tcBorders>
              <w:top w:val="nil"/>
              <w:left w:val="nil"/>
              <w:bottom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34"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46"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73" w:type="pct"/>
            <w:vMerge w:val="continue"/>
            <w:tcBorders>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23" w:type="pct"/>
            <w:tcBorders>
              <w:top w:val="nil"/>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1</w:t>
            </w:r>
          </w:p>
        </w:tc>
        <w:tc>
          <w:tcPr>
            <w:tcW w:w="48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2</w:t>
            </w:r>
          </w:p>
        </w:tc>
        <w:tc>
          <w:tcPr>
            <w:tcW w:w="52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3</w:t>
            </w:r>
          </w:p>
        </w:tc>
        <w:tc>
          <w:tcPr>
            <w:tcW w:w="53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4</w:t>
            </w:r>
          </w:p>
        </w:tc>
        <w:tc>
          <w:tcPr>
            <w:tcW w:w="54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5</w:t>
            </w:r>
          </w:p>
        </w:tc>
        <w:tc>
          <w:tcPr>
            <w:tcW w:w="9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lang w:val="en-US" w:eastAsia="zh-CN"/>
              </w:rPr>
            </w:pPr>
            <w:r>
              <w:rPr>
                <w:rFonts w:hint="default" w:ascii="Times New Roman" w:hAnsi="Times New Roman" w:eastAsia="方正仿宋_GB2312" w:cs="Times New Roman"/>
                <w:i w:val="0"/>
                <w:iCs w:val="0"/>
                <w:color w:val="000000"/>
                <w:sz w:val="20"/>
                <w:szCs w:val="20"/>
                <w:highlight w:val="none"/>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130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623" w:type="pct"/>
            <w:tcBorders>
              <w:top w:val="nil"/>
              <w:left w:val="single" w:color="auto"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34"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7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注：本表反映部门本年度政府性基金预算财政拨款收入、支出及结转和结余情况。（如无相关数据，则需注明空表列示）</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page"/>
            </w:r>
          </w:p>
        </w:tc>
      </w:tr>
    </w:tbl>
    <w:p>
      <w:pPr>
        <w:ind w:left="0" w:leftChars="0" w:firstLine="0" w:firstLineChars="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本</w:t>
      </w:r>
      <w:r>
        <w:rPr>
          <w:rFonts w:hint="eastAsia" w:ascii="方正仿宋_GB2312" w:hAnsi="方正仿宋_GB2312" w:eastAsia="方正仿宋_GB2312" w:cs="方正仿宋_GB2312"/>
          <w:color w:val="auto"/>
          <w:sz w:val="28"/>
          <w:szCs w:val="28"/>
          <w:highlight w:val="none"/>
          <w:lang w:eastAsia="zh-CN"/>
        </w:rPr>
        <w:t>单位</w:t>
      </w:r>
      <w:r>
        <w:rPr>
          <w:rFonts w:hint="eastAsia" w:ascii="方正仿宋_GB2312" w:hAnsi="方正仿宋_GB2312" w:eastAsia="方正仿宋_GB2312" w:cs="方正仿宋_GB2312"/>
          <w:color w:val="auto"/>
          <w:sz w:val="28"/>
          <w:szCs w:val="28"/>
          <w:highlight w:val="none"/>
        </w:rPr>
        <w:t>本年度无收支及结转结余情况,按</w:t>
      </w:r>
      <w:r>
        <w:rPr>
          <w:rFonts w:hint="eastAsia" w:ascii="宋体" w:hAnsi="宋体" w:eastAsia="宋体"/>
          <w:color w:val="auto"/>
          <w:sz w:val="28"/>
          <w:szCs w:val="28"/>
          <w:highlight w:val="none"/>
        </w:rPr>
        <w:t>要求</w:t>
      </w:r>
      <w:r>
        <w:rPr>
          <w:rFonts w:hint="eastAsia" w:ascii="方正仿宋_GB2312" w:hAnsi="方正仿宋_GB2312" w:eastAsia="方正仿宋_GB2312" w:cs="方正仿宋_GB2312"/>
          <w:color w:val="auto"/>
          <w:sz w:val="28"/>
          <w:szCs w:val="28"/>
          <w:highlight w:val="none"/>
        </w:rPr>
        <w:t>以空表列示。</w:t>
      </w: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863" w:type="pct"/>
        <w:tblInd w:w="-9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93"/>
        <w:gridCol w:w="731"/>
        <w:gridCol w:w="1296"/>
        <w:gridCol w:w="1332"/>
        <w:gridCol w:w="5"/>
        <w:gridCol w:w="47"/>
        <w:gridCol w:w="1281"/>
        <w:gridCol w:w="10"/>
        <w:gridCol w:w="1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08</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74" w:type="pct"/>
            <w:gridSpan w:val="2"/>
            <w:tcBorders>
              <w:top w:val="nil"/>
              <w:left w:val="nil"/>
              <w:bottom w:val="single" w:color="auto" w:sz="4" w:space="0"/>
              <w:right w:val="nil"/>
            </w:tcBorders>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（单位）：衡水市生态环境局冀州区分局</w:t>
            </w:r>
          </w:p>
        </w:tc>
        <w:tc>
          <w:tcPr>
            <w:tcW w:w="1421" w:type="pct"/>
            <w:gridSpan w:val="4"/>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603" w:type="pct"/>
            <w:gridSpan w:val="3"/>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62" w:type="pct"/>
            <w:gridSpan w:val="3"/>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项目</w:t>
            </w:r>
          </w:p>
        </w:tc>
        <w:tc>
          <w:tcPr>
            <w:tcW w:w="2337" w:type="pct"/>
            <w:gridSpan w:val="6"/>
            <w:vMerge w:val="restart"/>
            <w:tcBorders>
              <w:top w:val="single" w:color="auto"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62" w:type="pct"/>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2337" w:type="pct"/>
            <w:gridSpan w:val="6"/>
            <w:vMerge w:val="continue"/>
            <w:tcBorders>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87"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074"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科目名称</w:t>
            </w:r>
          </w:p>
        </w:tc>
        <w:tc>
          <w:tcPr>
            <w:tcW w:w="709" w:type="pct"/>
            <w:gridSpan w:val="2"/>
            <w:vMerge w:val="restart"/>
            <w:tcBorders>
              <w:top w:val="nil"/>
              <w:left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合计</w:t>
            </w:r>
          </w:p>
        </w:tc>
        <w:tc>
          <w:tcPr>
            <w:tcW w:w="709" w:type="pct"/>
            <w:gridSpan w:val="3"/>
            <w:vMerge w:val="restart"/>
            <w:tcBorders>
              <w:top w:val="nil"/>
              <w:left w:val="nil"/>
              <w:right w:val="single" w:color="000000"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基本支出</w:t>
            </w:r>
          </w:p>
        </w:tc>
        <w:tc>
          <w:tcPr>
            <w:tcW w:w="919" w:type="pct"/>
            <w:vMerge w:val="restart"/>
            <w:tcBorders>
              <w:top w:val="nil"/>
              <w:left w:val="nil"/>
              <w:right w:val="single" w:color="000000"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87" w:type="pct"/>
            <w:vMerge w:val="continue"/>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74" w:type="pct"/>
            <w:gridSpan w:val="2"/>
            <w:vMerge w:val="continue"/>
            <w:tcBorders>
              <w:top w:val="single" w:color="auto" w:sz="4" w:space="0"/>
              <w:left w:val="nil"/>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9" w:type="pct"/>
            <w:gridSpan w:val="2"/>
            <w:vMerge w:val="continue"/>
            <w:tcBorders>
              <w:left w:val="single" w:color="auto"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9" w:type="pct"/>
            <w:gridSpan w:val="3"/>
            <w:vMerge w:val="continue"/>
            <w:tcBorders>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19" w:type="pct"/>
            <w:vMerge w:val="continue"/>
            <w:tcBorders>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2" w:type="pct"/>
            <w:gridSpan w:val="3"/>
            <w:tcBorders>
              <w:top w:val="single" w:color="auto"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栏次</w:t>
            </w:r>
          </w:p>
        </w:tc>
        <w:tc>
          <w:tcPr>
            <w:tcW w:w="706" w:type="pct"/>
            <w:tcBorders>
              <w:top w:val="nil"/>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1</w:t>
            </w:r>
          </w:p>
        </w:tc>
        <w:tc>
          <w:tcPr>
            <w:tcW w:w="70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2</w:t>
            </w:r>
          </w:p>
        </w:tc>
        <w:tc>
          <w:tcPr>
            <w:tcW w:w="92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2" w:type="pct"/>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合计</w:t>
            </w:r>
          </w:p>
        </w:tc>
        <w:tc>
          <w:tcPr>
            <w:tcW w:w="706" w:type="pct"/>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06" w:type="pct"/>
            <w:gridSpan w:val="3"/>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24" w:type="pct"/>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注：本表反映部门本年度国有资本经营预算财政拨款支出情况。（如无相关数据，则需注明空表列示）</w:t>
            </w:r>
          </w:p>
        </w:tc>
      </w:tr>
    </w:tbl>
    <w:p>
      <w:pPr>
        <w:ind w:left="0" w:leftChars="0" w:firstLine="0" w:firstLineChars="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本</w:t>
      </w:r>
      <w:r>
        <w:rPr>
          <w:rFonts w:hint="eastAsia" w:ascii="方正仿宋_GB2312" w:hAnsi="方正仿宋_GB2312" w:eastAsia="方正仿宋_GB2312" w:cs="方正仿宋_GB2312"/>
          <w:color w:val="auto"/>
          <w:sz w:val="28"/>
          <w:szCs w:val="28"/>
          <w:highlight w:val="none"/>
          <w:lang w:eastAsia="zh-CN"/>
        </w:rPr>
        <w:t>单位</w:t>
      </w:r>
      <w:r>
        <w:rPr>
          <w:rFonts w:hint="eastAsia" w:ascii="方正仿宋_GB2312" w:hAnsi="方正仿宋_GB2312" w:eastAsia="方正仿宋_GB2312" w:cs="方正仿宋_GB2312"/>
          <w:color w:val="auto"/>
          <w:sz w:val="28"/>
          <w:szCs w:val="28"/>
          <w:highlight w:val="none"/>
        </w:rPr>
        <w:t>本年度无收支及结转结余情况,按</w:t>
      </w:r>
      <w:r>
        <w:rPr>
          <w:rFonts w:hint="eastAsia" w:ascii="宋体" w:hAnsi="宋体" w:eastAsia="宋体"/>
          <w:color w:val="auto"/>
          <w:sz w:val="28"/>
          <w:szCs w:val="28"/>
          <w:highlight w:val="none"/>
        </w:rPr>
        <w:t>要求</w:t>
      </w:r>
      <w:r>
        <w:rPr>
          <w:rFonts w:hint="eastAsia" w:ascii="方正仿宋_GB2312" w:hAnsi="方正仿宋_GB2312" w:eastAsia="方正仿宋_GB2312" w:cs="方正仿宋_GB2312"/>
          <w:color w:val="auto"/>
          <w:sz w:val="28"/>
          <w:szCs w:val="28"/>
          <w:highlight w:val="none"/>
        </w:rPr>
        <w:t>以空表列示。</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p>
    <w:tbl>
      <w:tblPr>
        <w:tblStyle w:val="11"/>
        <w:tblpPr w:leftFromText="180" w:rightFromText="180" w:vertAnchor="text" w:horzAnchor="page" w:tblpX="282" w:tblpY="39"/>
        <w:tblOverlap w:val="never"/>
        <w:tblW w:w="721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7"/>
        <w:gridCol w:w="1226"/>
        <w:gridCol w:w="814"/>
        <w:gridCol w:w="946"/>
        <w:gridCol w:w="519"/>
        <w:gridCol w:w="544"/>
        <w:gridCol w:w="777"/>
        <w:gridCol w:w="845"/>
        <w:gridCol w:w="5"/>
        <w:gridCol w:w="1133"/>
        <w:gridCol w:w="640"/>
        <w:gridCol w:w="1027"/>
        <w:gridCol w:w="946"/>
        <w:gridCol w:w="11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4"/>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000" w:type="pct"/>
            <w:gridSpan w:val="1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09</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936" w:type="pct"/>
            <w:gridSpan w:val="5"/>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（单位）：衡水市生态环境局冀州区分局</w:t>
            </w:r>
          </w:p>
        </w:tc>
        <w:tc>
          <w:tcPr>
            <w:tcW w:w="933" w:type="pct"/>
            <w:gridSpan w:val="3"/>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202</w:t>
            </w:r>
            <w:r>
              <w:rPr>
                <w:rFonts w:hint="eastAsia" w:ascii="Times New Roman" w:hAnsi="Times New Roman" w:eastAsia="宋体" w:cs="Times New Roman"/>
                <w:i w:val="0"/>
                <w:iCs w:val="0"/>
                <w:color w:val="000000"/>
                <w:kern w:val="0"/>
                <w:sz w:val="18"/>
                <w:szCs w:val="18"/>
                <w:highlight w:val="none"/>
                <w:u w:val="none"/>
                <w:lang w:val="en-US" w:eastAsia="zh-CN" w:bidi="ar"/>
              </w:rPr>
              <w:t>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2129" w:type="pct"/>
            <w:gridSpan w:val="6"/>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default" w:ascii="宋体" w:hAnsi="宋体" w:eastAsia="宋体" w:cs="宋体"/>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2506" w:type="pct"/>
            <w:gridSpan w:val="7"/>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预算数</w:t>
            </w:r>
          </w:p>
        </w:tc>
        <w:tc>
          <w:tcPr>
            <w:tcW w:w="2493" w:type="pct"/>
            <w:gridSpan w:val="7"/>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vMerge w:val="restar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528"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21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335"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366" w:type="pct"/>
            <w:gridSpan w:val="2"/>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488"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12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511"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vMerge w:val="continue"/>
            <w:tcBorders>
              <w:top w:val="nil"/>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528"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5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45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335"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66" w:type="pct"/>
            <w:gridSpan w:val="2"/>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488"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27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44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511"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w:t>
            </w:r>
          </w:p>
        </w:tc>
        <w:tc>
          <w:tcPr>
            <w:tcW w:w="52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2</w:t>
            </w:r>
          </w:p>
        </w:tc>
        <w:tc>
          <w:tcPr>
            <w:tcW w:w="35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3</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4</w:t>
            </w:r>
          </w:p>
        </w:tc>
        <w:tc>
          <w:tcPr>
            <w:tcW w:w="45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5</w:t>
            </w:r>
          </w:p>
        </w:tc>
        <w:tc>
          <w:tcPr>
            <w:tcW w:w="33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6</w:t>
            </w:r>
          </w:p>
        </w:tc>
        <w:tc>
          <w:tcPr>
            <w:tcW w:w="36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7</w:t>
            </w:r>
          </w:p>
        </w:tc>
        <w:tc>
          <w:tcPr>
            <w:tcW w:w="48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8</w:t>
            </w:r>
          </w:p>
        </w:tc>
        <w:tc>
          <w:tcPr>
            <w:tcW w:w="27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9</w:t>
            </w:r>
          </w:p>
        </w:tc>
        <w:tc>
          <w:tcPr>
            <w:tcW w:w="44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10</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11</w:t>
            </w:r>
          </w:p>
        </w:tc>
        <w:tc>
          <w:tcPr>
            <w:tcW w:w="51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2.00</w:t>
            </w:r>
          </w:p>
        </w:tc>
        <w:tc>
          <w:tcPr>
            <w:tcW w:w="52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35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2.00</w:t>
            </w:r>
          </w:p>
        </w:tc>
        <w:tc>
          <w:tcPr>
            <w:tcW w:w="40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45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2.00</w:t>
            </w:r>
          </w:p>
        </w:tc>
        <w:tc>
          <w:tcPr>
            <w:tcW w:w="33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36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1.49</w:t>
            </w:r>
          </w:p>
        </w:tc>
        <w:tc>
          <w:tcPr>
            <w:tcW w:w="48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27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1.49</w:t>
            </w:r>
          </w:p>
        </w:tc>
        <w:tc>
          <w:tcPr>
            <w:tcW w:w="44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40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1.49</w:t>
            </w:r>
          </w:p>
        </w:tc>
        <w:tc>
          <w:tcPr>
            <w:tcW w:w="511"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000" w:type="pct"/>
            <w:gridSpan w:val="14"/>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sectPr>
          <w:headerReference r:id="rId9" w:type="default"/>
          <w:footerReference r:id="rId10"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第三部分   </w:t>
      </w:r>
      <w:r>
        <w:rPr>
          <w:rFonts w:ascii="Times New Roman" w:eastAsia="仿宋_GB2312"/>
          <w:b w:val="0"/>
          <w:sz w:val="44"/>
          <w:szCs w:val="44"/>
        </w:rPr>
        <w:t>2024</w:t>
      </w:r>
      <w:r>
        <w:rPr>
          <w:rFonts w:ascii="Times New Roman" w:eastAsia="黑体"/>
          <w:b w:val="0"/>
          <w:sz w:val="44"/>
          <w:szCs w:val="44"/>
        </w:rPr>
        <w:t>年度部门决算情况说明</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一、收入支出决算总体情况说明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本单位2024年度收、支总计（含结转和结余）均为597.88万元。与2023年度决算相比，收支各增加1.34万元，增长0.2%，主要原因是本年度公务员人员减少、自收自支人员增加所以收支比上年增加。</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Arial" w:cs="Times New Roman"/>
          <w:highlight w:val="none"/>
        </w:rPr>
      </w:pPr>
      <w:r>
        <w:rPr>
          <w:rFonts w:hint="eastAsia" w:ascii="Times New Roman" w:hAnsi="Times New Roman" w:eastAsia="宋体"/>
        </w:rPr>
        <w:drawing>
          <wp:inline distT="0" distB="0" distL="114300" distR="114300">
            <wp:extent cx="5256530" cy="2988310"/>
            <wp:effectExtent l="5080" t="4445" r="889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hint="default" w:ascii="Times New Roman" w:hAnsi="Times New Roman" w:eastAsia="Arial" w:cs="Times New Roman"/>
          <w:i w:val="0"/>
          <w:iCs w:val="0"/>
          <w:caps w:val="0"/>
          <w:color w:val="000000"/>
          <w:spacing w:val="0"/>
          <w:sz w:val="18"/>
          <w:szCs w:val="18"/>
          <w:highlight w:val="none"/>
          <w:shd w:val="clear" w:fill="FFFFFF"/>
        </w:rPr>
        <w:t> </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二、收入决算情况说明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本单位2024年度本年收入合计597.88万元，其中：财政拨款收入597.88万元，占10</w:t>
      </w:r>
      <w:r>
        <w:rPr>
          <w:rFonts w:hint="eastAsia" w:ascii="Times New Roman" w:eastAsia="仿宋_GB2312"/>
          <w:b w:val="0"/>
          <w:sz w:val="32"/>
          <w:szCs w:val="32"/>
          <w:lang w:eastAsia="zh-CN"/>
        </w:rPr>
        <w:t>0%</w:t>
      </w:r>
      <w:r>
        <w:rPr>
          <w:rFonts w:ascii="Times New Roman" w:eastAsia="仿宋_GB2312"/>
          <w:b w:val="0"/>
          <w:sz w:val="32"/>
          <w:szCs w:val="32"/>
        </w:rPr>
        <w:t>​；上级补助收入</w:t>
      </w:r>
      <w:r>
        <w:rPr>
          <w:rFonts w:hint="eastAsia" w:ascii="Times New Roman" w:eastAsia="仿宋_GB2312"/>
          <w:b w:val="0"/>
          <w:sz w:val="32"/>
          <w:szCs w:val="32"/>
          <w:lang w:eastAsia="zh-CN"/>
        </w:rPr>
        <w:t>0万元</w:t>
      </w:r>
      <w:r>
        <w:rPr>
          <w:rFonts w:ascii="Times New Roman" w:eastAsia="仿宋_GB2312"/>
          <w:b w:val="0"/>
          <w:sz w:val="32"/>
          <w:szCs w:val="32"/>
        </w:rPr>
        <w:t>，占</w:t>
      </w:r>
      <w:r>
        <w:rPr>
          <w:rFonts w:hint="eastAsia" w:ascii="Times New Roman" w:eastAsia="仿宋_GB2312"/>
          <w:b w:val="0"/>
          <w:sz w:val="32"/>
          <w:szCs w:val="32"/>
          <w:lang w:eastAsia="zh-CN"/>
        </w:rPr>
        <w:t>0%</w:t>
      </w:r>
      <w:r>
        <w:rPr>
          <w:rFonts w:ascii="Times New Roman" w:eastAsia="仿宋_GB2312"/>
          <w:b w:val="0"/>
          <w:sz w:val="32"/>
          <w:szCs w:val="32"/>
        </w:rPr>
        <w:t>；事业收入</w:t>
      </w:r>
      <w:r>
        <w:rPr>
          <w:rFonts w:hint="eastAsia" w:ascii="Times New Roman" w:eastAsia="仿宋_GB2312"/>
          <w:b w:val="0"/>
          <w:sz w:val="32"/>
          <w:szCs w:val="32"/>
          <w:lang w:eastAsia="zh-CN"/>
        </w:rPr>
        <w:t>0万元</w:t>
      </w:r>
      <w:r>
        <w:rPr>
          <w:rFonts w:ascii="Times New Roman" w:eastAsia="仿宋_GB2312"/>
          <w:b w:val="0"/>
          <w:sz w:val="32"/>
          <w:szCs w:val="32"/>
        </w:rPr>
        <w:t>，占</w:t>
      </w:r>
      <w:r>
        <w:rPr>
          <w:rFonts w:hint="eastAsia" w:ascii="Times New Roman" w:eastAsia="仿宋_GB2312"/>
          <w:b w:val="0"/>
          <w:sz w:val="32"/>
          <w:szCs w:val="32"/>
          <w:lang w:eastAsia="zh-CN"/>
        </w:rPr>
        <w:t>0%</w:t>
      </w:r>
      <w:r>
        <w:rPr>
          <w:rFonts w:ascii="Times New Roman" w:eastAsia="仿宋_GB2312"/>
          <w:b w:val="0"/>
          <w:sz w:val="32"/>
          <w:szCs w:val="32"/>
        </w:rPr>
        <w:t>；经营收入</w:t>
      </w:r>
      <w:r>
        <w:rPr>
          <w:rFonts w:hint="eastAsia" w:ascii="Times New Roman" w:eastAsia="仿宋_GB2312"/>
          <w:b w:val="0"/>
          <w:sz w:val="32"/>
          <w:szCs w:val="32"/>
          <w:lang w:eastAsia="zh-CN"/>
        </w:rPr>
        <w:t>0万元</w:t>
      </w:r>
      <w:r>
        <w:rPr>
          <w:rFonts w:ascii="Times New Roman" w:eastAsia="仿宋_GB2312"/>
          <w:b w:val="0"/>
          <w:sz w:val="32"/>
          <w:szCs w:val="32"/>
        </w:rPr>
        <w:t>，占</w:t>
      </w:r>
      <w:r>
        <w:rPr>
          <w:rFonts w:hint="eastAsia" w:ascii="Times New Roman" w:eastAsia="仿宋_GB2312"/>
          <w:b w:val="0"/>
          <w:sz w:val="32"/>
          <w:szCs w:val="32"/>
          <w:lang w:eastAsia="zh-CN"/>
        </w:rPr>
        <w:t>0%</w:t>
      </w:r>
      <w:r>
        <w:rPr>
          <w:rFonts w:ascii="Times New Roman" w:eastAsia="仿宋_GB2312"/>
          <w:b w:val="0"/>
          <w:sz w:val="32"/>
          <w:szCs w:val="32"/>
        </w:rPr>
        <w:t>；附属单位上缴收入</w:t>
      </w:r>
      <w:r>
        <w:rPr>
          <w:rFonts w:hint="eastAsia" w:ascii="Times New Roman" w:eastAsia="仿宋_GB2312"/>
          <w:b w:val="0"/>
          <w:sz w:val="32"/>
          <w:szCs w:val="32"/>
          <w:lang w:eastAsia="zh-CN"/>
        </w:rPr>
        <w:t>0万元</w:t>
      </w:r>
      <w:r>
        <w:rPr>
          <w:rFonts w:ascii="Times New Roman" w:eastAsia="仿宋_GB2312"/>
          <w:b w:val="0"/>
          <w:sz w:val="32"/>
          <w:szCs w:val="32"/>
        </w:rPr>
        <w:t>，占</w:t>
      </w:r>
      <w:r>
        <w:rPr>
          <w:rFonts w:hint="eastAsia" w:ascii="Times New Roman" w:eastAsia="仿宋_GB2312"/>
          <w:b w:val="0"/>
          <w:sz w:val="32"/>
          <w:szCs w:val="32"/>
          <w:lang w:eastAsia="zh-CN"/>
        </w:rPr>
        <w:t>0%</w:t>
      </w:r>
      <w:r>
        <w:rPr>
          <w:rFonts w:ascii="Times New Roman" w:eastAsia="仿宋_GB2312"/>
          <w:b w:val="0"/>
          <w:sz w:val="32"/>
          <w:szCs w:val="32"/>
        </w:rPr>
        <w:t>；其他收入</w:t>
      </w:r>
      <w:r>
        <w:rPr>
          <w:rFonts w:hint="eastAsia" w:ascii="Times New Roman" w:eastAsia="仿宋_GB2312"/>
          <w:b w:val="0"/>
          <w:sz w:val="32"/>
          <w:szCs w:val="32"/>
          <w:lang w:eastAsia="zh-CN"/>
        </w:rPr>
        <w:t>0万元</w:t>
      </w:r>
      <w:r>
        <w:rPr>
          <w:rFonts w:ascii="Times New Roman" w:eastAsia="仿宋_GB2312"/>
          <w:b w:val="0"/>
          <w:sz w:val="32"/>
          <w:szCs w:val="32"/>
        </w:rPr>
        <w:t>，占</w:t>
      </w:r>
      <w:r>
        <w:rPr>
          <w:rFonts w:hint="eastAsia" w:ascii="Times New Roman" w:eastAsia="仿宋_GB2312"/>
          <w:b w:val="0"/>
          <w:sz w:val="32"/>
          <w:szCs w:val="32"/>
          <w:lang w:eastAsia="zh-CN"/>
        </w:rPr>
        <w:t>0%</w:t>
      </w:r>
      <w:r>
        <w:rPr>
          <w:rFonts w:ascii="Times New Roman" w:eastAsia="仿宋_GB2312"/>
          <w:b w:val="0"/>
          <w:sz w:val="32"/>
          <w:szCs w:val="32"/>
        </w:rPr>
        <w:t>。</w:t>
      </w:r>
    </w:p>
    <w:p>
      <w:pPr>
        <w:adjustRightInd w:val="0"/>
        <w:snapToGrid w:val="0"/>
        <w:spacing w:line="580" w:lineRule="exact"/>
        <w:jc w:val="both"/>
        <w:rPr>
          <w:rFonts w:hint="default" w:ascii="Times New Roman" w:hAnsi="Times New Roman" w:eastAsia="仿宋_GB2312" w:cs="Times New Roman"/>
          <w:kern w:val="2"/>
          <w:sz w:val="32"/>
          <w:szCs w:val="32"/>
          <w:highlight w:val="yellow"/>
          <w:lang w:val="zh-CN"/>
        </w:rPr>
      </w:pPr>
      <w:r>
        <w:rPr>
          <w:rFonts w:ascii="Times New Roman" w:hAnsi="Times New Roman" w:eastAsia="仿宋_GB2312"/>
          <w:kern w:val="2"/>
          <w:sz w:val="32"/>
          <w:szCs w:val="32"/>
          <w:highlight w:val="yellow"/>
          <w:lang w:val="zh-CN"/>
        </w:rPr>
        <w:drawing>
          <wp:anchor distT="0" distB="0" distL="114300" distR="114300" simplePos="0" relativeHeight="251661312" behindDoc="0" locked="0" layoutInCell="1" allowOverlap="1">
            <wp:simplePos x="0" y="0"/>
            <wp:positionH relativeFrom="column">
              <wp:posOffset>-16510</wp:posOffset>
            </wp:positionH>
            <wp:positionV relativeFrom="paragraph">
              <wp:posOffset>201930</wp:posOffset>
            </wp:positionV>
            <wp:extent cx="5256530" cy="2988310"/>
            <wp:effectExtent l="5080" t="4445" r="8890" b="1714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三、支出决算情况说明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本单位2024年度本年支出合计597.88万元，其中：基本支出130.49万元，占21.8%；项目支出467.39万元，占78.2%；上缴上级支出</w:t>
      </w:r>
      <w:r>
        <w:rPr>
          <w:rFonts w:hint="eastAsia" w:ascii="Times New Roman" w:eastAsia="仿宋_GB2312"/>
          <w:b w:val="0"/>
          <w:sz w:val="32"/>
          <w:szCs w:val="32"/>
          <w:lang w:eastAsia="zh-CN"/>
        </w:rPr>
        <w:t>0万元</w:t>
      </w:r>
      <w:r>
        <w:rPr>
          <w:rFonts w:ascii="Times New Roman" w:eastAsia="仿宋_GB2312"/>
          <w:b w:val="0"/>
          <w:sz w:val="32"/>
          <w:szCs w:val="32"/>
        </w:rPr>
        <w:t>，占</w:t>
      </w:r>
      <w:r>
        <w:rPr>
          <w:rFonts w:hint="eastAsia" w:ascii="Times New Roman" w:eastAsia="仿宋_GB2312"/>
          <w:b w:val="0"/>
          <w:sz w:val="32"/>
          <w:szCs w:val="32"/>
          <w:lang w:eastAsia="zh-CN"/>
        </w:rPr>
        <w:t>0%</w:t>
      </w:r>
      <w:r>
        <w:rPr>
          <w:rFonts w:ascii="Times New Roman" w:eastAsia="仿宋_GB2312"/>
          <w:b w:val="0"/>
          <w:sz w:val="32"/>
          <w:szCs w:val="32"/>
        </w:rPr>
        <w:t>；经营支出</w:t>
      </w:r>
      <w:r>
        <w:rPr>
          <w:rFonts w:hint="eastAsia" w:ascii="Times New Roman" w:eastAsia="仿宋_GB2312"/>
          <w:b w:val="0"/>
          <w:sz w:val="32"/>
          <w:szCs w:val="32"/>
          <w:lang w:eastAsia="zh-CN"/>
        </w:rPr>
        <w:t>0万元</w:t>
      </w:r>
      <w:r>
        <w:rPr>
          <w:rFonts w:ascii="Times New Roman" w:eastAsia="仿宋_GB2312"/>
          <w:b w:val="0"/>
          <w:sz w:val="32"/>
          <w:szCs w:val="32"/>
        </w:rPr>
        <w:t>，占</w:t>
      </w:r>
      <w:r>
        <w:rPr>
          <w:rFonts w:hint="eastAsia" w:ascii="Times New Roman" w:eastAsia="仿宋_GB2312"/>
          <w:b w:val="0"/>
          <w:sz w:val="32"/>
          <w:szCs w:val="32"/>
          <w:lang w:eastAsia="zh-CN"/>
        </w:rPr>
        <w:t>0%</w:t>
      </w:r>
      <w:r>
        <w:rPr>
          <w:rFonts w:ascii="Times New Roman" w:eastAsia="仿宋_GB2312"/>
          <w:b w:val="0"/>
          <w:sz w:val="32"/>
          <w:szCs w:val="32"/>
        </w:rPr>
        <w:t>；对附属单位补助支出</w:t>
      </w:r>
      <w:r>
        <w:rPr>
          <w:rFonts w:hint="eastAsia" w:ascii="Times New Roman" w:eastAsia="仿宋_GB2312"/>
          <w:b w:val="0"/>
          <w:sz w:val="32"/>
          <w:szCs w:val="32"/>
          <w:lang w:eastAsia="zh-CN"/>
        </w:rPr>
        <w:t>0万元</w:t>
      </w:r>
      <w:r>
        <w:rPr>
          <w:rFonts w:ascii="Times New Roman" w:eastAsia="仿宋_GB2312"/>
          <w:b w:val="0"/>
          <w:sz w:val="32"/>
          <w:szCs w:val="32"/>
        </w:rPr>
        <w:t>，占</w:t>
      </w:r>
      <w:r>
        <w:rPr>
          <w:rFonts w:hint="eastAsia" w:ascii="Times New Roman" w:eastAsia="仿宋_GB2312"/>
          <w:b w:val="0"/>
          <w:sz w:val="32"/>
          <w:szCs w:val="32"/>
          <w:lang w:eastAsia="zh-CN"/>
        </w:rPr>
        <w:t>0%</w:t>
      </w:r>
      <w:r>
        <w:rPr>
          <w:rFonts w:ascii="Times New Roman" w:eastAsia="仿宋_GB2312"/>
          <w:b w:val="0"/>
          <w:sz w:val="32"/>
          <w:szCs w:val="32"/>
        </w:rPr>
        <w:t>。</w:t>
      </w:r>
    </w:p>
    <w:p>
      <w:pPr>
        <w:autoSpaceDE w:val="0"/>
        <w:autoSpaceDN w:val="0"/>
        <w:adjustRightInd w:val="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cs="Times New Roman"/>
          <w:sz w:val="32"/>
          <w:szCs w:val="32"/>
          <w:highlight w:val="none"/>
        </w:rPr>
        <w:drawing>
          <wp:inline distT="0" distB="0" distL="114300" distR="114300">
            <wp:extent cx="5256530" cy="2988310"/>
            <wp:effectExtent l="5080" t="4445" r="1143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四、财政拨款收入支出决算总体情况说明</w:t>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（一）财政拨款收支与</w:t>
      </w:r>
      <w:r>
        <w:rPr>
          <w:rFonts w:ascii="Times New Roman" w:eastAsia="仿宋_GB2312"/>
          <w:b/>
          <w:sz w:val="32"/>
          <w:szCs w:val="32"/>
        </w:rPr>
        <w:t>2023</w:t>
      </w:r>
      <w:r>
        <w:rPr>
          <w:rFonts w:ascii="Times New Roman" w:eastAsia="楷体_GB2312"/>
          <w:b/>
          <w:sz w:val="32"/>
          <w:szCs w:val="32"/>
        </w:rPr>
        <w:t>年度决算对比情况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本单位2024年度财政拨款收、支总计（含结转和结余）均为597.88万元。与2023年度相比，财政拨款收支各增加1.34万元，增长0.2%，主要原因是人员变动。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本单位2024年度财政拨款本年收入597.88万元,比上年增加1.34万元，增长0.2%，主要原因是人员变动；本年支出597.88万元，比上年增加1.34万元，增长0.2%，主要原因是人员变动。具体情况如下：</w:t>
      </w:r>
    </w:p>
    <w:p>
      <w:pPr>
        <w:widowControl/>
        <w:spacing w:before="0" w:beforeLines="0" w:beforeAutospacing="0" w:after="0" w:afterLines="0" w:afterAutospacing="0" w:line="360" w:lineRule="auto"/>
        <w:ind w:firstLine="640" w:firstLineChars="200"/>
        <w:jc w:val="left"/>
        <w:outlineLvl w:val="1"/>
        <w:rPr>
          <w:rFonts w:ascii="Times New Roman" w:eastAsia="仿宋_GB2312"/>
          <w:sz w:val="32"/>
          <w:szCs w:val="32"/>
        </w:rPr>
      </w:pPr>
      <w:r>
        <w:rPr>
          <w:rFonts w:ascii="Times New Roman" w:eastAsia="仿宋_GB2312"/>
          <w:b w:val="0"/>
          <w:sz w:val="32"/>
          <w:szCs w:val="32"/>
        </w:rPr>
        <w:t>1. 一般公共预算财政拨款本年收入597.88万元,比上年增加1.34万元，增长0.2%，主要原因是人员变动；本年支出597.88万元，比上年增加1.34万元，增长0.2%，主要原因是人员变动。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 政府性基金预算财政拨款本年收入</w:t>
      </w:r>
      <w:r>
        <w:rPr>
          <w:rFonts w:hint="eastAsia" w:ascii="Times New Roman" w:eastAsia="仿宋_GB2312"/>
          <w:b w:val="0"/>
          <w:sz w:val="32"/>
          <w:szCs w:val="32"/>
          <w:lang w:eastAsia="zh-CN"/>
        </w:rPr>
        <w:t>0万元</w:t>
      </w:r>
      <w:r>
        <w:rPr>
          <w:rFonts w:ascii="Times New Roman" w:eastAsia="仿宋_GB2312"/>
          <w:b w:val="0"/>
          <w:sz w:val="32"/>
          <w:szCs w:val="32"/>
        </w:rPr>
        <w:t>，比上年增加</w:t>
      </w:r>
      <w:r>
        <w:rPr>
          <w:rFonts w:hint="eastAsia" w:ascii="Times New Roman" w:eastAsia="仿宋_GB2312"/>
          <w:b w:val="0"/>
          <w:sz w:val="32"/>
          <w:szCs w:val="32"/>
          <w:lang w:eastAsia="zh-CN"/>
        </w:rPr>
        <w:t>0万元</w:t>
      </w:r>
      <w:r>
        <w:rPr>
          <w:rFonts w:ascii="Times New Roman" w:eastAsia="仿宋_GB2312"/>
          <w:b w:val="0"/>
          <w:sz w:val="32"/>
          <w:szCs w:val="32"/>
        </w:rPr>
        <w:t>，增长</w:t>
      </w:r>
      <w:r>
        <w:rPr>
          <w:rFonts w:hint="eastAsia" w:ascii="Times New Roman" w:eastAsia="仿宋_GB2312"/>
          <w:b w:val="0"/>
          <w:sz w:val="32"/>
          <w:szCs w:val="32"/>
          <w:lang w:eastAsia="zh-CN"/>
        </w:rPr>
        <w:t>0%</w:t>
      </w:r>
      <w:r>
        <w:rPr>
          <w:rFonts w:ascii="Times New Roman" w:eastAsia="仿宋_GB2312"/>
          <w:b w:val="0"/>
          <w:sz w:val="32"/>
          <w:szCs w:val="32"/>
        </w:rPr>
        <w:t>，主要原因是本单位本年度不涉及政府性基金预算财政拨款收入；本年支出</w:t>
      </w:r>
      <w:r>
        <w:rPr>
          <w:rFonts w:hint="eastAsia" w:ascii="Times New Roman" w:eastAsia="仿宋_GB2312"/>
          <w:b w:val="0"/>
          <w:sz w:val="32"/>
          <w:szCs w:val="32"/>
          <w:lang w:eastAsia="zh-CN"/>
        </w:rPr>
        <w:t>0万元</w:t>
      </w:r>
      <w:r>
        <w:rPr>
          <w:rFonts w:ascii="Times New Roman" w:eastAsia="仿宋_GB2312"/>
          <w:b w:val="0"/>
          <w:sz w:val="32"/>
          <w:szCs w:val="32"/>
        </w:rPr>
        <w:t>，比上年增加</w:t>
      </w:r>
      <w:r>
        <w:rPr>
          <w:rFonts w:hint="eastAsia" w:ascii="Times New Roman" w:eastAsia="仿宋_GB2312"/>
          <w:b w:val="0"/>
          <w:sz w:val="32"/>
          <w:szCs w:val="32"/>
          <w:lang w:eastAsia="zh-CN"/>
        </w:rPr>
        <w:t>0万元</w:t>
      </w:r>
      <w:r>
        <w:rPr>
          <w:rFonts w:ascii="Times New Roman" w:eastAsia="仿宋_GB2312"/>
          <w:b w:val="0"/>
          <w:sz w:val="32"/>
          <w:szCs w:val="32"/>
        </w:rPr>
        <w:t>，增长</w:t>
      </w:r>
      <w:r>
        <w:rPr>
          <w:rFonts w:hint="eastAsia" w:ascii="Times New Roman" w:eastAsia="仿宋_GB2312"/>
          <w:b w:val="0"/>
          <w:sz w:val="32"/>
          <w:szCs w:val="32"/>
          <w:lang w:eastAsia="zh-CN"/>
        </w:rPr>
        <w:t>0%</w:t>
      </w:r>
      <w:r>
        <w:rPr>
          <w:rFonts w:ascii="Times New Roman" w:eastAsia="仿宋_GB2312"/>
          <w:b w:val="0"/>
          <w:sz w:val="32"/>
          <w:szCs w:val="32"/>
        </w:rPr>
        <w:t>，主要原因是本单位本年度不涉及政府性基金预算财政拨款收入。</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3. 国有资本经营预算财政拨款本年收入</w:t>
      </w:r>
      <w:r>
        <w:rPr>
          <w:rFonts w:hint="eastAsia" w:ascii="Times New Roman" w:eastAsia="仿宋_GB2312"/>
          <w:b w:val="0"/>
          <w:sz w:val="32"/>
          <w:szCs w:val="32"/>
          <w:lang w:eastAsia="zh-CN"/>
        </w:rPr>
        <w:t>0万元</w:t>
      </w:r>
      <w:r>
        <w:rPr>
          <w:rFonts w:ascii="Times New Roman" w:eastAsia="仿宋_GB2312"/>
          <w:b w:val="0"/>
          <w:sz w:val="32"/>
          <w:szCs w:val="32"/>
        </w:rPr>
        <w:t>，比上年增加</w:t>
      </w:r>
      <w:r>
        <w:rPr>
          <w:rFonts w:hint="eastAsia" w:ascii="Times New Roman" w:eastAsia="仿宋_GB2312"/>
          <w:b w:val="0"/>
          <w:sz w:val="32"/>
          <w:szCs w:val="32"/>
          <w:lang w:eastAsia="zh-CN"/>
        </w:rPr>
        <w:t>0万元</w:t>
      </w:r>
      <w:r>
        <w:rPr>
          <w:rFonts w:ascii="Times New Roman" w:eastAsia="仿宋_GB2312"/>
          <w:b w:val="0"/>
          <w:sz w:val="32"/>
          <w:szCs w:val="32"/>
        </w:rPr>
        <w:t>，增长</w:t>
      </w:r>
      <w:r>
        <w:rPr>
          <w:rFonts w:hint="eastAsia" w:ascii="Times New Roman" w:eastAsia="仿宋_GB2312"/>
          <w:b w:val="0"/>
          <w:sz w:val="32"/>
          <w:szCs w:val="32"/>
          <w:lang w:eastAsia="zh-CN"/>
        </w:rPr>
        <w:t>0%</w:t>
      </w:r>
      <w:r>
        <w:rPr>
          <w:rFonts w:ascii="Times New Roman" w:eastAsia="仿宋_GB2312"/>
          <w:b w:val="0"/>
          <w:sz w:val="32"/>
          <w:szCs w:val="32"/>
        </w:rPr>
        <w:t>，主要原因是本单位本年度不涉及国有资本经营预算财政拨款收入；本年支出</w:t>
      </w:r>
      <w:r>
        <w:rPr>
          <w:rFonts w:hint="eastAsia" w:ascii="Times New Roman" w:eastAsia="仿宋_GB2312"/>
          <w:b w:val="0"/>
          <w:sz w:val="32"/>
          <w:szCs w:val="32"/>
          <w:lang w:eastAsia="zh-CN"/>
        </w:rPr>
        <w:t>0万元</w:t>
      </w:r>
      <w:r>
        <w:rPr>
          <w:rFonts w:ascii="Times New Roman" w:eastAsia="仿宋_GB2312"/>
          <w:b w:val="0"/>
          <w:sz w:val="32"/>
          <w:szCs w:val="32"/>
        </w:rPr>
        <w:t>，比上年增加</w:t>
      </w:r>
      <w:r>
        <w:rPr>
          <w:rFonts w:hint="eastAsia" w:ascii="Times New Roman" w:eastAsia="仿宋_GB2312"/>
          <w:b w:val="0"/>
          <w:sz w:val="32"/>
          <w:szCs w:val="32"/>
          <w:lang w:eastAsia="zh-CN"/>
        </w:rPr>
        <w:t>0万元</w:t>
      </w:r>
      <w:r>
        <w:rPr>
          <w:rFonts w:ascii="Times New Roman" w:eastAsia="仿宋_GB2312"/>
          <w:b w:val="0"/>
          <w:sz w:val="32"/>
          <w:szCs w:val="32"/>
        </w:rPr>
        <w:t>，增长</w:t>
      </w:r>
      <w:r>
        <w:rPr>
          <w:rFonts w:hint="eastAsia" w:ascii="Times New Roman" w:eastAsia="仿宋_GB2312"/>
          <w:b w:val="0"/>
          <w:sz w:val="32"/>
          <w:szCs w:val="32"/>
          <w:lang w:eastAsia="zh-CN"/>
        </w:rPr>
        <w:t>0%</w:t>
      </w:r>
      <w:r>
        <w:rPr>
          <w:rFonts w:ascii="Times New Roman" w:eastAsia="仿宋_GB2312"/>
          <w:b w:val="0"/>
          <w:sz w:val="32"/>
          <w:szCs w:val="32"/>
        </w:rPr>
        <w:t>，主要原因是本单位本年度不涉及国有资本经营预算财政拨款收入。</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sz w:val="32"/>
          <w:szCs w:val="32"/>
        </w:rPr>
        <w:drawing>
          <wp:inline distT="0" distB="0" distL="114300" distR="114300">
            <wp:extent cx="5256530" cy="2988310"/>
            <wp:effectExtent l="5080" t="4445" r="889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（二）财政拨款收支与年初预算数对比情况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本单位2024年度财政拨款本年收入597.88万元，完成年初预算的95.3%，比年初预算减少29.17万元，决算数小于预算数主要原因是人员变动 ；本年支出597.88万元，完成年初预算的95.3%，比年初预算减少29.17万元，决算数小于预算数主要原因是人员变动 。具体情况如下：</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1. 一般公共预算财政拨款本年收入完成年初预算的95.3%，比年初预算减少29.17万元，主要原因是人员变动；支出完成年初预算的95.3%，比年初预算减少29.17万元，主要原因是人员变动。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 政府性基金预算财政拨款本年收入完成年初预算的</w:t>
      </w:r>
      <w:r>
        <w:rPr>
          <w:rFonts w:hint="eastAsia" w:ascii="Times New Roman" w:eastAsia="仿宋_GB2312"/>
          <w:b w:val="0"/>
          <w:sz w:val="32"/>
          <w:szCs w:val="32"/>
          <w:lang w:eastAsia="zh-CN"/>
        </w:rPr>
        <w:t>0%</w:t>
      </w:r>
      <w:r>
        <w:rPr>
          <w:rFonts w:ascii="Times New Roman" w:eastAsia="仿宋_GB2312"/>
          <w:b w:val="0"/>
          <w:sz w:val="32"/>
          <w:szCs w:val="32"/>
        </w:rPr>
        <w:t>，比年初预算增加</w:t>
      </w:r>
      <w:r>
        <w:rPr>
          <w:rFonts w:hint="eastAsia" w:ascii="Times New Roman" w:eastAsia="仿宋_GB2312"/>
          <w:b w:val="0"/>
          <w:sz w:val="32"/>
          <w:szCs w:val="32"/>
          <w:lang w:eastAsia="zh-CN"/>
        </w:rPr>
        <w:t>0万元</w:t>
      </w:r>
      <w:r>
        <w:rPr>
          <w:rFonts w:ascii="Times New Roman" w:eastAsia="仿宋_GB2312"/>
          <w:b w:val="0"/>
          <w:sz w:val="32"/>
          <w:szCs w:val="32"/>
        </w:rPr>
        <w:t>，主要原因是本单位本年度不涉及政府性基金预算财政拨款收入；支出完成年初预算的</w:t>
      </w:r>
      <w:r>
        <w:rPr>
          <w:rFonts w:hint="eastAsia" w:ascii="Times New Roman" w:eastAsia="仿宋_GB2312"/>
          <w:b w:val="0"/>
          <w:sz w:val="32"/>
          <w:szCs w:val="32"/>
          <w:lang w:eastAsia="zh-CN"/>
        </w:rPr>
        <w:t>0%</w:t>
      </w:r>
      <w:r>
        <w:rPr>
          <w:rFonts w:ascii="Times New Roman" w:eastAsia="仿宋_GB2312"/>
          <w:b w:val="0"/>
          <w:sz w:val="32"/>
          <w:szCs w:val="32"/>
        </w:rPr>
        <w:t>，比年初预算增加</w:t>
      </w:r>
      <w:r>
        <w:rPr>
          <w:rFonts w:hint="eastAsia" w:ascii="Times New Roman" w:eastAsia="仿宋_GB2312"/>
          <w:b w:val="0"/>
          <w:sz w:val="32"/>
          <w:szCs w:val="32"/>
          <w:lang w:eastAsia="zh-CN"/>
        </w:rPr>
        <w:t>0万元</w:t>
      </w:r>
      <w:r>
        <w:rPr>
          <w:rFonts w:ascii="Times New Roman" w:eastAsia="仿宋_GB2312"/>
          <w:b w:val="0"/>
          <w:sz w:val="32"/>
          <w:szCs w:val="32"/>
        </w:rPr>
        <w:t>，主要原因是本单位本年度不涉及政府性基金预算财政拨款收入。</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3. 国有资本经营预算财政拨款本年收入完成年初预算的0.0 %，比年初预算增加</w:t>
      </w:r>
      <w:r>
        <w:rPr>
          <w:rFonts w:hint="eastAsia" w:ascii="Times New Roman" w:eastAsia="仿宋_GB2312"/>
          <w:b w:val="0"/>
          <w:sz w:val="32"/>
          <w:szCs w:val="32"/>
          <w:lang w:eastAsia="zh-CN"/>
        </w:rPr>
        <w:t>0万元</w:t>
      </w:r>
      <w:r>
        <w:rPr>
          <w:rFonts w:ascii="Times New Roman" w:eastAsia="仿宋_GB2312"/>
          <w:b w:val="0"/>
          <w:sz w:val="32"/>
          <w:szCs w:val="32"/>
        </w:rPr>
        <w:t>，主要原因是本单位本年度不涉及国有资本经营预算财政拨款收入；支出完成年初预算的</w:t>
      </w:r>
      <w:r>
        <w:rPr>
          <w:rFonts w:hint="eastAsia" w:ascii="Times New Roman" w:eastAsia="仿宋_GB2312"/>
          <w:b w:val="0"/>
          <w:sz w:val="32"/>
          <w:szCs w:val="32"/>
          <w:lang w:eastAsia="zh-CN"/>
        </w:rPr>
        <w:t>0%</w:t>
      </w:r>
      <w:r>
        <w:rPr>
          <w:rFonts w:ascii="Times New Roman" w:eastAsia="仿宋_GB2312"/>
          <w:b w:val="0"/>
          <w:sz w:val="32"/>
          <w:szCs w:val="32"/>
        </w:rPr>
        <w:t>，比年初预算增加</w:t>
      </w:r>
      <w:r>
        <w:rPr>
          <w:rFonts w:hint="eastAsia" w:ascii="Times New Roman" w:eastAsia="仿宋_GB2312"/>
          <w:b w:val="0"/>
          <w:sz w:val="32"/>
          <w:szCs w:val="32"/>
          <w:lang w:eastAsia="zh-CN"/>
        </w:rPr>
        <w:t>0万元</w:t>
      </w:r>
      <w:r>
        <w:rPr>
          <w:rFonts w:ascii="Times New Roman" w:eastAsia="仿宋_GB2312"/>
          <w:b w:val="0"/>
          <w:sz w:val="32"/>
          <w:szCs w:val="32"/>
        </w:rPr>
        <w:t>，主要原因是本单位本年度不涉及国有资本经营预算财政拨款收入。</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Arial" w:cs="Times New Roman"/>
          <w:highlight w:val="none"/>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sz w:val="32"/>
          <w:szCs w:val="32"/>
          <w:highlight w:val="none"/>
        </w:rPr>
        <w:drawing>
          <wp:inline distT="0" distB="0" distL="114300" distR="114300">
            <wp:extent cx="5256530" cy="2988310"/>
            <wp:effectExtent l="5080" t="4445" r="8890" b="1714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（三）财政拨款支出决算结构情况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  2024年度财政拨款支出597.88万元，主要用于以下方面：</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一般公共预算财政拨款支出：</w:t>
      </w:r>
    </w:p>
    <w:p>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社会保障和就业（类）支出28.63万元，占4.8%，主要用于退休费、养老保险等支出；卫生健康（类）支出4.17万元，</w:t>
      </w:r>
      <w:r>
        <w:rPr>
          <w:rFonts w:hint="eastAsia" w:ascii="Times New Roman" w:eastAsia="仿宋_GB2312"/>
          <w:b w:val="0"/>
          <w:sz w:val="32"/>
          <w:szCs w:val="32"/>
          <w:lang w:val="en-US" w:eastAsia="zh-CN"/>
        </w:rPr>
        <w:t>占</w:t>
      </w:r>
      <w:r>
        <w:rPr>
          <w:rFonts w:ascii="Times New Roman" w:eastAsia="仿宋_GB2312"/>
          <w:b w:val="0"/>
          <w:sz w:val="32"/>
          <w:szCs w:val="32"/>
        </w:rPr>
        <w:t>0.7%，主要用于医疗保险等支出；节能环保（类）支出556.39万元，占93.1%，主要用于公务员工资及自收自支项目等支出；住房保障（类）支出8.70万元，占1.5%，主要用于在职人员住房公积金费用等支出；</w:t>
      </w:r>
    </w:p>
    <w:p>
      <w:pPr>
        <w:widowControl/>
        <w:spacing w:before="0" w:beforeLines="0" w:beforeAutospacing="0" w:after="0" w:afterLines="0" w:afterAutospacing="0" w:line="360" w:lineRule="auto"/>
        <w:ind w:firstLine="643" w:firstLineChars="200"/>
        <w:jc w:val="left"/>
        <w:rPr>
          <w:rFonts w:hint="eastAsia" w:ascii="Times New Roman" w:eastAsia="仿宋_GB2312" w:cs="宋体"/>
          <w:b w:val="0"/>
          <w:sz w:val="32"/>
          <w:szCs w:val="32"/>
          <w:lang w:val="en-US" w:eastAsia="zh-CN"/>
        </w:rPr>
      </w:pPr>
      <w:r>
        <w:rPr>
          <w:rFonts w:ascii="Times New Roman" w:eastAsia="仿宋_GB2312"/>
          <w:b/>
          <w:sz w:val="32"/>
          <w:szCs w:val="32"/>
        </w:rPr>
        <w:t>政府性基金预算财政拨款支出：</w:t>
      </w:r>
      <w:r>
        <w:rPr>
          <w:rFonts w:hint="eastAsia" w:ascii="Times New Roman" w:eastAsia="仿宋_GB2312" w:cs="宋体"/>
          <w:b w:val="0"/>
          <w:sz w:val="32"/>
          <w:szCs w:val="32"/>
          <w:lang w:val="en-US" w:eastAsia="zh-CN"/>
        </w:rPr>
        <w:t>本年度无政府性基金预算财政拨款支出。</w:t>
      </w:r>
    </w:p>
    <w:p>
      <w:pPr>
        <w:widowControl/>
        <w:spacing w:before="0" w:beforeLines="0" w:beforeAutospacing="0" w:after="0" w:afterLines="0" w:afterAutospacing="0" w:line="360" w:lineRule="auto"/>
        <w:ind w:firstLine="643" w:firstLineChars="200"/>
        <w:jc w:val="left"/>
        <w:rPr>
          <w:rFonts w:hint="default" w:ascii="Times New Roman" w:eastAsia="仿宋_GB2312" w:cs="宋体"/>
          <w:b w:val="0"/>
          <w:sz w:val="32"/>
          <w:szCs w:val="32"/>
          <w:lang w:val="en-US" w:eastAsia="zh-CN"/>
        </w:rPr>
      </w:pPr>
      <w:r>
        <w:rPr>
          <w:rFonts w:ascii="Times New Roman" w:eastAsia="仿宋_GB2312"/>
          <w:b/>
          <w:sz w:val="32"/>
          <w:szCs w:val="32"/>
        </w:rPr>
        <w:t>国有资本经营预算财政拨款支出：</w:t>
      </w:r>
      <w:r>
        <w:rPr>
          <w:rFonts w:hint="eastAsia" w:ascii="Times New Roman" w:eastAsia="仿宋_GB2312"/>
          <w:b/>
          <w:sz w:val="32"/>
          <w:szCs w:val="32"/>
          <w:lang w:val="en-US" w:eastAsia="zh-CN"/>
        </w:rPr>
        <w:t>本</w:t>
      </w:r>
      <w:r>
        <w:rPr>
          <w:rFonts w:hint="eastAsia" w:ascii="Times New Roman" w:eastAsia="仿宋_GB2312" w:cs="宋体"/>
          <w:b w:val="0"/>
          <w:sz w:val="32"/>
          <w:szCs w:val="32"/>
          <w:lang w:val="en-US" w:eastAsia="zh-CN"/>
        </w:rPr>
        <w:t>年度无国有资本经营预算财政拨款支出。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ind w:left="0" w:right="0"/>
        <w:jc w:val="left"/>
        <w:textAlignment w:val="auto"/>
        <w:rPr>
          <w:rFonts w:hint="default" w:ascii="Times New Roman" w:hAnsi="Times New Roman" w:eastAsia="仿宋_GB2312" w:cs="Times New Roman"/>
          <w:color w:val="auto"/>
          <w:kern w:val="2"/>
          <w:sz w:val="32"/>
          <w:szCs w:val="32"/>
          <w:lang w:val="zh-CN" w:eastAsia="zh-CN" w:bidi="ar-SA"/>
        </w:rPr>
      </w:pPr>
      <w:r>
        <w:rPr>
          <w:rFonts w:ascii="Times New Roman" w:hAnsi="Times New Roman" w:eastAsia="仿宋_GB2312"/>
          <w:kern w:val="2"/>
          <w:sz w:val="32"/>
          <w:szCs w:val="32"/>
          <w:lang w:val="zh-CN"/>
        </w:rPr>
        <w:drawing>
          <wp:inline distT="0" distB="0" distL="114300" distR="114300">
            <wp:extent cx="5859145" cy="2988310"/>
            <wp:effectExtent l="5080" t="4445" r="15875" b="1714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widowControl/>
        <w:spacing w:before="0" w:beforeLines="0" w:beforeAutospacing="0" w:after="0" w:afterLines="0" w:afterAutospacing="0" w:line="360" w:lineRule="auto"/>
        <w:ind w:firstLine="643" w:firstLineChars="200"/>
        <w:jc w:val="left"/>
        <w:rPr>
          <w:rFonts w:ascii="Times New Roman" w:eastAsia="楷体_GB2312"/>
          <w:b/>
          <w:sz w:val="32"/>
          <w:szCs w:val="32"/>
        </w:rPr>
      </w:pPr>
    </w:p>
    <w:p>
      <w:pPr>
        <w:widowControl/>
        <w:numPr>
          <w:ilvl w:val="0"/>
          <w:numId w:val="2"/>
        </w:numPr>
        <w:spacing w:before="0" w:beforeLines="0" w:beforeAutospacing="0" w:after="0" w:afterLines="0" w:afterAutospacing="0" w:line="360" w:lineRule="auto"/>
        <w:ind w:firstLine="643" w:firstLineChars="200"/>
        <w:jc w:val="left"/>
        <w:rPr>
          <w:rFonts w:ascii="Times New Roman" w:eastAsia="楷体_GB2312"/>
          <w:b/>
          <w:sz w:val="32"/>
          <w:szCs w:val="32"/>
        </w:rPr>
      </w:pPr>
      <w:r>
        <w:rPr>
          <w:rFonts w:ascii="Times New Roman" w:eastAsia="楷体_GB2312"/>
          <w:b/>
          <w:sz w:val="32"/>
          <w:szCs w:val="32"/>
        </w:rPr>
        <w:t>一般公共预算基本支出决算情况说明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  2024年度财政拨款基本支出130.49万元，其中：</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人员经费120.40万元，主要包括基本工资、津贴补贴、奖金、绩效工资、机关事业部门基本养老保险缴费、职业年金缴费、职工基本医疗保险缴费、住房公积金、其他社会保障缴费、其他工资福利支出、 退休费、奖励金、其他对个人和家庭的补助支出。</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公用经费10.08万元，主要包括办公费、水费、电费、邮电费、取 暖费、工会经费、福利费、公务用车运行维护费、其他交通费用。</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五、财政拨款“三公” 经费支出决算情况说明</w:t>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（一）“三公”经费财政拨款支出决算总体情况说明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本单位2024年度“三公”经费财政拨款支出预算为2</w:t>
      </w:r>
      <w:bookmarkStart w:id="0" w:name="_GoBack"/>
      <w:bookmarkEnd w:id="0"/>
      <w:r>
        <w:rPr>
          <w:rFonts w:ascii="Times New Roman" w:eastAsia="仿宋_GB2312"/>
          <w:b w:val="0"/>
          <w:sz w:val="32"/>
          <w:szCs w:val="32"/>
        </w:rPr>
        <w:t>万元，支出决算为1.49万元，完成预算的74.5%，较预算减少0.51万元，降低25.5%，主要原因是厉行节约，严控“三公”支出；较2023年度决算减少0.51万元，降低25.5%，主要原因是厉行节约，严控“三公”支出。</w:t>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（二）“三公”经费财政拨款支出决算具体情况说明</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 1.因公出国（境）费支出情况。</w:t>
      </w:r>
      <w:r>
        <w:rPr>
          <w:rFonts w:ascii="Times New Roman" w:eastAsia="仿宋_GB2312"/>
          <w:b w:val="0"/>
          <w:sz w:val="32"/>
          <w:szCs w:val="32"/>
        </w:rPr>
        <w:t>本单位2024年度因公出国（境）费支出预算为</w:t>
      </w:r>
      <w:r>
        <w:rPr>
          <w:rFonts w:hint="eastAsia" w:ascii="Times New Roman" w:eastAsia="仿宋_GB2312"/>
          <w:b w:val="0"/>
          <w:sz w:val="32"/>
          <w:szCs w:val="32"/>
          <w:lang w:eastAsia="zh-CN"/>
        </w:rPr>
        <w:t>0万元</w:t>
      </w:r>
      <w:r>
        <w:rPr>
          <w:rFonts w:ascii="Times New Roman" w:eastAsia="仿宋_GB2312"/>
          <w:b w:val="0"/>
          <w:sz w:val="32"/>
          <w:szCs w:val="32"/>
        </w:rPr>
        <w:t>,支出决算</w:t>
      </w:r>
      <w:r>
        <w:rPr>
          <w:rFonts w:hint="eastAsia" w:ascii="Times New Roman" w:eastAsia="仿宋_GB2312"/>
          <w:b w:val="0"/>
          <w:sz w:val="32"/>
          <w:szCs w:val="32"/>
          <w:lang w:eastAsia="zh-CN"/>
        </w:rPr>
        <w:t>0万元</w:t>
      </w:r>
      <w:r>
        <w:rPr>
          <w:rFonts w:ascii="Times New Roman" w:eastAsia="仿宋_GB2312"/>
          <w:b w:val="0"/>
          <w:sz w:val="32"/>
          <w:szCs w:val="32"/>
        </w:rPr>
        <w:t>。完成预算的</w:t>
      </w:r>
      <w:r>
        <w:rPr>
          <w:rFonts w:hint="eastAsia" w:ascii="Times New Roman" w:eastAsia="仿宋_GB2312"/>
          <w:b w:val="0"/>
          <w:sz w:val="32"/>
          <w:szCs w:val="32"/>
          <w:lang w:eastAsia="zh-CN"/>
        </w:rPr>
        <w:t>0%</w:t>
      </w:r>
      <w:r>
        <w:rPr>
          <w:rFonts w:ascii="Times New Roman" w:eastAsia="仿宋_GB2312"/>
          <w:b w:val="0"/>
          <w:sz w:val="32"/>
          <w:szCs w:val="32"/>
        </w:rPr>
        <w:t>。因公出国（境）费支出较预算增加</w:t>
      </w:r>
      <w:r>
        <w:rPr>
          <w:rFonts w:hint="eastAsia" w:ascii="Times New Roman" w:eastAsia="仿宋_GB2312"/>
          <w:b w:val="0"/>
          <w:sz w:val="32"/>
          <w:szCs w:val="32"/>
          <w:lang w:eastAsia="zh-CN"/>
        </w:rPr>
        <w:t>0万元</w:t>
      </w:r>
      <w:r>
        <w:rPr>
          <w:rFonts w:ascii="Times New Roman" w:eastAsia="仿宋_GB2312"/>
          <w:b w:val="0"/>
          <w:sz w:val="32"/>
          <w:szCs w:val="32"/>
        </w:rPr>
        <w:t>，增长</w:t>
      </w:r>
      <w:r>
        <w:rPr>
          <w:rFonts w:hint="eastAsia" w:ascii="Times New Roman" w:eastAsia="仿宋_GB2312"/>
          <w:b w:val="0"/>
          <w:sz w:val="32"/>
          <w:szCs w:val="32"/>
          <w:lang w:eastAsia="zh-CN"/>
        </w:rPr>
        <w:t>0%</w:t>
      </w:r>
      <w:r>
        <w:rPr>
          <w:rFonts w:ascii="Times New Roman" w:eastAsia="仿宋_GB2312"/>
          <w:b w:val="0"/>
          <w:sz w:val="32"/>
          <w:szCs w:val="32"/>
        </w:rPr>
        <w:t>,主要原因是2024年度本单位无因公出国（境）费支出；较上年增加</w:t>
      </w:r>
      <w:r>
        <w:rPr>
          <w:rFonts w:hint="eastAsia" w:ascii="Times New Roman" w:eastAsia="仿宋_GB2312"/>
          <w:b w:val="0"/>
          <w:sz w:val="32"/>
          <w:szCs w:val="32"/>
          <w:lang w:eastAsia="zh-CN"/>
        </w:rPr>
        <w:t>0万元</w:t>
      </w:r>
      <w:r>
        <w:rPr>
          <w:rFonts w:ascii="Times New Roman" w:eastAsia="仿宋_GB2312"/>
          <w:b w:val="0"/>
          <w:sz w:val="32"/>
          <w:szCs w:val="32"/>
        </w:rPr>
        <w:t>，增长</w:t>
      </w:r>
      <w:r>
        <w:rPr>
          <w:rFonts w:hint="eastAsia" w:ascii="Times New Roman" w:eastAsia="仿宋_GB2312"/>
          <w:b w:val="0"/>
          <w:sz w:val="32"/>
          <w:szCs w:val="32"/>
          <w:lang w:eastAsia="zh-CN"/>
        </w:rPr>
        <w:t>0%</w:t>
      </w:r>
      <w:r>
        <w:rPr>
          <w:rFonts w:ascii="Times New Roman" w:eastAsia="仿宋_GB2312"/>
          <w:b w:val="0"/>
          <w:sz w:val="32"/>
          <w:szCs w:val="32"/>
        </w:rPr>
        <w:t>,主要原因是2024年度本单位无因公出国（境）费支出。因公出国（境）团组0个、共0人、参加其他单位组织的因公出国（境）团组0个、共0人/无本部门组织的出国（境）团组。</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 2.公务用车购置及运行维护费支出情况。</w:t>
      </w:r>
      <w:r>
        <w:rPr>
          <w:rFonts w:ascii="Times New Roman" w:eastAsia="仿宋_GB2312"/>
          <w:b w:val="0"/>
          <w:sz w:val="32"/>
          <w:szCs w:val="32"/>
        </w:rPr>
        <w:t>本单位2024年度公务用车购置及运行维护费预算为2万元，支出决算1.49万元，完成预算的74.5%,较预算减少0.51万元，降低25.5%,主要原因是厉行节约，严控“三公”支出；较上年减少0.51万元，降低25.5%,主要原因是厉行节约，严控“三公”支出。其中：</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公务用车购置费支出</w:t>
      </w:r>
      <w:r>
        <w:rPr>
          <w:rFonts w:hint="eastAsia" w:ascii="Times New Roman" w:eastAsia="仿宋_GB2312"/>
          <w:b/>
          <w:sz w:val="32"/>
          <w:szCs w:val="32"/>
          <w:lang w:eastAsia="zh-CN"/>
        </w:rPr>
        <w:t>0万元</w:t>
      </w:r>
      <w:r>
        <w:rPr>
          <w:rFonts w:ascii="Times New Roman" w:eastAsia="仿宋_GB2312"/>
          <w:b/>
          <w:sz w:val="32"/>
          <w:szCs w:val="32"/>
        </w:rPr>
        <w:t>：</w:t>
      </w:r>
      <w:r>
        <w:rPr>
          <w:rFonts w:ascii="Times New Roman" w:eastAsia="仿宋_GB2312"/>
          <w:b w:val="0"/>
          <w:sz w:val="32"/>
          <w:szCs w:val="32"/>
        </w:rPr>
        <w:t>本单位2024年度公务用车购置量0辆，发生“公务用车购置”经费支出0万元。公务用车购置费支出较预算增加</w:t>
      </w:r>
      <w:r>
        <w:rPr>
          <w:rFonts w:hint="eastAsia" w:ascii="Times New Roman" w:eastAsia="仿宋_GB2312"/>
          <w:b w:val="0"/>
          <w:sz w:val="32"/>
          <w:szCs w:val="32"/>
          <w:lang w:eastAsia="zh-CN"/>
        </w:rPr>
        <w:t>0万元</w:t>
      </w:r>
      <w:r>
        <w:rPr>
          <w:rFonts w:ascii="Times New Roman" w:eastAsia="仿宋_GB2312"/>
          <w:b w:val="0"/>
          <w:sz w:val="32"/>
          <w:szCs w:val="32"/>
        </w:rPr>
        <w:t>，增长</w:t>
      </w:r>
      <w:r>
        <w:rPr>
          <w:rFonts w:hint="eastAsia" w:ascii="Times New Roman" w:eastAsia="仿宋_GB2312"/>
          <w:b w:val="0"/>
          <w:sz w:val="32"/>
          <w:szCs w:val="32"/>
          <w:lang w:eastAsia="zh-CN"/>
        </w:rPr>
        <w:t>0%</w:t>
      </w:r>
      <w:r>
        <w:rPr>
          <w:rFonts w:ascii="Times New Roman" w:eastAsia="仿宋_GB2312"/>
          <w:b w:val="0"/>
          <w:sz w:val="32"/>
          <w:szCs w:val="32"/>
        </w:rPr>
        <w:t>,主要原因是2024年度本单位无公务用车购置费支出；较上年增加</w:t>
      </w:r>
      <w:r>
        <w:rPr>
          <w:rFonts w:hint="eastAsia" w:ascii="Times New Roman" w:eastAsia="仿宋_GB2312"/>
          <w:b w:val="0"/>
          <w:sz w:val="32"/>
          <w:szCs w:val="32"/>
          <w:lang w:eastAsia="zh-CN"/>
        </w:rPr>
        <w:t>0万元</w:t>
      </w:r>
      <w:r>
        <w:rPr>
          <w:rFonts w:ascii="Times New Roman" w:eastAsia="仿宋_GB2312"/>
          <w:b w:val="0"/>
          <w:sz w:val="32"/>
          <w:szCs w:val="32"/>
        </w:rPr>
        <w:t>，增长</w:t>
      </w:r>
      <w:r>
        <w:rPr>
          <w:rFonts w:hint="eastAsia" w:ascii="Times New Roman" w:eastAsia="仿宋_GB2312"/>
          <w:b w:val="0"/>
          <w:sz w:val="32"/>
          <w:szCs w:val="32"/>
          <w:lang w:eastAsia="zh-CN"/>
        </w:rPr>
        <w:t>0%</w:t>
      </w:r>
      <w:r>
        <w:rPr>
          <w:rFonts w:ascii="Times New Roman" w:eastAsia="仿宋_GB2312"/>
          <w:b w:val="0"/>
          <w:sz w:val="32"/>
          <w:szCs w:val="32"/>
        </w:rPr>
        <w:t>,主要原因是2024年度本单位无公务用车购置费。</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公务用车运行维护费支出1.49万元：</w:t>
      </w:r>
      <w:r>
        <w:rPr>
          <w:rFonts w:ascii="Times New Roman" w:eastAsia="仿宋_GB2312"/>
          <w:b w:val="0"/>
          <w:sz w:val="32"/>
          <w:szCs w:val="32"/>
        </w:rPr>
        <w:t>本单位2024年度单位公务用车保有量1辆，发生运行维护费支出1.49万元。公车运行维护费支出较预算减少0.51万元，降低25.5%,主要原因是厉行节约，严控“三公”支出；较上年减少0.51万元，降低25.5%，主要原因是厉行节约，严控“三公”支出。</w:t>
      </w:r>
    </w:p>
    <w:p>
      <w:pPr>
        <w:widowControl/>
        <w:numPr>
          <w:ilvl w:val="0"/>
          <w:numId w:val="3"/>
        </w:numPr>
        <w:spacing w:before="0" w:beforeLines="0" w:beforeAutospacing="0" w:after="0" w:afterLines="0" w:afterAutospacing="0" w:line="360" w:lineRule="auto"/>
        <w:ind w:firstLine="643" w:firstLineChars="200"/>
        <w:jc w:val="left"/>
        <w:rPr>
          <w:rFonts w:ascii="Times New Roman" w:eastAsia="仿宋_GB2312"/>
          <w:b w:val="0"/>
          <w:sz w:val="32"/>
          <w:szCs w:val="32"/>
        </w:rPr>
      </w:pPr>
      <w:r>
        <w:rPr>
          <w:rFonts w:ascii="Times New Roman" w:eastAsia="楷体_GB2312"/>
          <w:b/>
          <w:sz w:val="32"/>
          <w:szCs w:val="32"/>
        </w:rPr>
        <w:t>公务接待费支出情况。</w:t>
      </w:r>
      <w:r>
        <w:rPr>
          <w:rFonts w:ascii="Times New Roman" w:eastAsia="仿宋_GB2312"/>
          <w:b w:val="0"/>
          <w:sz w:val="32"/>
          <w:szCs w:val="32"/>
        </w:rPr>
        <w:t>本单位2024年度公务接待费支出预算为</w:t>
      </w:r>
      <w:r>
        <w:rPr>
          <w:rFonts w:hint="eastAsia" w:ascii="Times New Roman" w:eastAsia="仿宋_GB2312"/>
          <w:b w:val="0"/>
          <w:sz w:val="32"/>
          <w:szCs w:val="32"/>
          <w:lang w:eastAsia="zh-CN"/>
        </w:rPr>
        <w:t>0万元</w:t>
      </w:r>
      <w:r>
        <w:rPr>
          <w:rFonts w:ascii="Times New Roman" w:eastAsia="仿宋_GB2312"/>
          <w:b w:val="0"/>
          <w:sz w:val="32"/>
          <w:szCs w:val="32"/>
        </w:rPr>
        <w:t>，支出决算</w:t>
      </w:r>
      <w:r>
        <w:rPr>
          <w:rFonts w:hint="eastAsia" w:ascii="Times New Roman" w:eastAsia="仿宋_GB2312"/>
          <w:b w:val="0"/>
          <w:sz w:val="32"/>
          <w:szCs w:val="32"/>
          <w:lang w:eastAsia="zh-CN"/>
        </w:rPr>
        <w:t>0万元</w:t>
      </w:r>
      <w:r>
        <w:rPr>
          <w:rFonts w:ascii="Times New Roman" w:eastAsia="仿宋_GB2312"/>
          <w:b w:val="0"/>
          <w:sz w:val="32"/>
          <w:szCs w:val="32"/>
        </w:rPr>
        <w:t>，完成预算的</w:t>
      </w:r>
      <w:r>
        <w:rPr>
          <w:rFonts w:hint="eastAsia" w:ascii="Times New Roman" w:eastAsia="仿宋_GB2312"/>
          <w:b w:val="0"/>
          <w:sz w:val="32"/>
          <w:szCs w:val="32"/>
          <w:lang w:eastAsia="zh-CN"/>
        </w:rPr>
        <w:t>0%</w:t>
      </w:r>
      <w:r>
        <w:rPr>
          <w:rFonts w:ascii="Times New Roman" w:eastAsia="仿宋_GB2312"/>
          <w:b w:val="0"/>
          <w:sz w:val="32"/>
          <w:szCs w:val="32"/>
        </w:rPr>
        <w:t>。公务接待费支出较预算增加</w:t>
      </w:r>
      <w:r>
        <w:rPr>
          <w:rFonts w:hint="eastAsia" w:ascii="Times New Roman" w:eastAsia="仿宋_GB2312"/>
          <w:b w:val="0"/>
          <w:sz w:val="32"/>
          <w:szCs w:val="32"/>
          <w:lang w:eastAsia="zh-CN"/>
        </w:rPr>
        <w:t>0万元</w:t>
      </w:r>
      <w:r>
        <w:rPr>
          <w:rFonts w:ascii="Times New Roman" w:eastAsia="仿宋_GB2312"/>
          <w:b w:val="0"/>
          <w:sz w:val="32"/>
          <w:szCs w:val="32"/>
        </w:rPr>
        <w:t>，增长</w:t>
      </w:r>
      <w:r>
        <w:rPr>
          <w:rFonts w:hint="eastAsia" w:ascii="Times New Roman" w:eastAsia="仿宋_GB2312"/>
          <w:b w:val="0"/>
          <w:sz w:val="32"/>
          <w:szCs w:val="32"/>
          <w:lang w:eastAsia="zh-CN"/>
        </w:rPr>
        <w:t>0%</w:t>
      </w:r>
      <w:r>
        <w:rPr>
          <w:rFonts w:ascii="Times New Roman" w:eastAsia="仿宋_GB2312"/>
          <w:b w:val="0"/>
          <w:sz w:val="32"/>
          <w:szCs w:val="32"/>
        </w:rPr>
        <w:t>,主要原因是2024年度本单位无公务接待费支出；较上年度增加</w:t>
      </w:r>
      <w:r>
        <w:rPr>
          <w:rFonts w:hint="eastAsia" w:ascii="Times New Roman" w:eastAsia="仿宋_GB2312"/>
          <w:b w:val="0"/>
          <w:sz w:val="32"/>
          <w:szCs w:val="32"/>
          <w:lang w:eastAsia="zh-CN"/>
        </w:rPr>
        <w:t>0万元</w:t>
      </w:r>
      <w:r>
        <w:rPr>
          <w:rFonts w:ascii="Times New Roman" w:eastAsia="仿宋_GB2312"/>
          <w:b w:val="0"/>
          <w:sz w:val="32"/>
          <w:szCs w:val="32"/>
        </w:rPr>
        <w:t>，增长</w:t>
      </w:r>
      <w:r>
        <w:rPr>
          <w:rFonts w:hint="eastAsia" w:ascii="Times New Roman" w:eastAsia="仿宋_GB2312"/>
          <w:b w:val="0"/>
          <w:sz w:val="32"/>
          <w:szCs w:val="32"/>
          <w:lang w:eastAsia="zh-CN"/>
        </w:rPr>
        <w:t>0%</w:t>
      </w:r>
      <w:r>
        <w:rPr>
          <w:rFonts w:ascii="Times New Roman" w:eastAsia="仿宋_GB2312"/>
          <w:b w:val="0"/>
          <w:sz w:val="32"/>
          <w:szCs w:val="32"/>
        </w:rPr>
        <w:t>,主要原因是2024年度本单位无公务接待费支出。本年度共发生公务接待0批次、0人次。</w:t>
      </w:r>
    </w:p>
    <w:p>
      <w:pPr>
        <w:widowControl/>
        <w:numPr>
          <w:ilvl w:val="0"/>
          <w:numId w:val="0"/>
        </w:numPr>
        <w:spacing w:before="0" w:beforeLines="0" w:beforeAutospacing="0" w:after="0" w:afterLines="0" w:afterAutospacing="0" w:line="360" w:lineRule="auto"/>
        <w:jc w:val="left"/>
        <w:rPr>
          <w:rFonts w:ascii="Times New Roman" w:eastAsia="仿宋_GB2312"/>
          <w:b w:val="0"/>
          <w:sz w:val="32"/>
          <w:szCs w:val="32"/>
        </w:rPr>
      </w:pP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六、机关运行经费支出说明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本单位2024年度机关运行经费支出10.08万元，较2023年度减少2.62万元，降低20.7%。主要原因是厉行节约，严控经费支出。</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七、政府采购支出说明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本单位2024年度政府采购支出总额</w:t>
      </w:r>
      <w:r>
        <w:rPr>
          <w:rFonts w:hint="eastAsia" w:ascii="Times New Roman" w:eastAsia="仿宋_GB2312"/>
          <w:b w:val="0"/>
          <w:sz w:val="32"/>
          <w:szCs w:val="32"/>
          <w:lang w:eastAsia="zh-CN"/>
        </w:rPr>
        <w:t>0万元</w:t>
      </w:r>
      <w:r>
        <w:rPr>
          <w:rFonts w:ascii="Times New Roman" w:eastAsia="仿宋_GB2312"/>
          <w:b w:val="0"/>
          <w:sz w:val="32"/>
          <w:szCs w:val="32"/>
        </w:rPr>
        <w:t>，从采购类型来看，政府采购货物支出</w:t>
      </w:r>
      <w:r>
        <w:rPr>
          <w:rFonts w:hint="eastAsia" w:ascii="Times New Roman" w:eastAsia="仿宋_GB2312"/>
          <w:b w:val="0"/>
          <w:sz w:val="32"/>
          <w:szCs w:val="32"/>
          <w:lang w:eastAsia="zh-CN"/>
        </w:rPr>
        <w:t>0万元</w:t>
      </w:r>
      <w:r>
        <w:rPr>
          <w:rFonts w:ascii="Times New Roman" w:eastAsia="仿宋_GB2312"/>
          <w:b w:val="0"/>
          <w:sz w:val="32"/>
          <w:szCs w:val="32"/>
        </w:rPr>
        <w:t>、政府采购工程支出</w:t>
      </w:r>
      <w:r>
        <w:rPr>
          <w:rFonts w:hint="eastAsia" w:ascii="Times New Roman" w:eastAsia="仿宋_GB2312"/>
          <w:b w:val="0"/>
          <w:sz w:val="32"/>
          <w:szCs w:val="32"/>
          <w:lang w:eastAsia="zh-CN"/>
        </w:rPr>
        <w:t>0万元</w:t>
      </w:r>
      <w:r>
        <w:rPr>
          <w:rFonts w:ascii="Times New Roman" w:eastAsia="仿宋_GB2312"/>
          <w:b w:val="0"/>
          <w:sz w:val="32"/>
          <w:szCs w:val="32"/>
        </w:rPr>
        <w:t>、政府采购服务支出</w:t>
      </w:r>
      <w:r>
        <w:rPr>
          <w:rFonts w:hint="eastAsia" w:ascii="Times New Roman" w:eastAsia="仿宋_GB2312"/>
          <w:b w:val="0"/>
          <w:sz w:val="32"/>
          <w:szCs w:val="32"/>
          <w:lang w:eastAsia="zh-CN"/>
        </w:rPr>
        <w:t>0万元</w:t>
      </w:r>
      <w:r>
        <w:rPr>
          <w:rFonts w:ascii="Times New Roman" w:eastAsia="仿宋_GB2312"/>
          <w:b w:val="0"/>
          <w:sz w:val="32"/>
          <w:szCs w:val="32"/>
        </w:rPr>
        <w:t>。授予中小企业合同金额</w:t>
      </w:r>
      <w:r>
        <w:rPr>
          <w:rFonts w:hint="eastAsia" w:ascii="Times New Roman" w:eastAsia="仿宋_GB2312"/>
          <w:b w:val="0"/>
          <w:sz w:val="32"/>
          <w:szCs w:val="32"/>
          <w:lang w:eastAsia="zh-CN"/>
        </w:rPr>
        <w:t>0万元</w:t>
      </w:r>
      <w:r>
        <w:rPr>
          <w:rFonts w:ascii="Times New Roman" w:eastAsia="仿宋_GB2312"/>
          <w:b w:val="0"/>
          <w:sz w:val="32"/>
          <w:szCs w:val="32"/>
        </w:rPr>
        <w:t>，占政府采购支出总额的</w:t>
      </w:r>
      <w:r>
        <w:rPr>
          <w:rFonts w:hint="eastAsia" w:ascii="Times New Roman" w:eastAsia="仿宋_GB2312"/>
          <w:b w:val="0"/>
          <w:sz w:val="32"/>
          <w:szCs w:val="32"/>
          <w:lang w:eastAsia="zh-CN"/>
        </w:rPr>
        <w:t>0%</w:t>
      </w:r>
      <w:r>
        <w:rPr>
          <w:rFonts w:ascii="Times New Roman" w:eastAsia="仿宋_GB2312"/>
          <w:b w:val="0"/>
          <w:sz w:val="32"/>
          <w:szCs w:val="32"/>
        </w:rPr>
        <w:t>，其中授予小微企业合同金额</w:t>
      </w:r>
      <w:r>
        <w:rPr>
          <w:rFonts w:hint="eastAsia" w:ascii="Times New Roman" w:eastAsia="仿宋_GB2312"/>
          <w:b w:val="0"/>
          <w:sz w:val="32"/>
          <w:szCs w:val="32"/>
          <w:lang w:eastAsia="zh-CN"/>
        </w:rPr>
        <w:t>0万元</w:t>
      </w:r>
      <w:r>
        <w:rPr>
          <w:rFonts w:ascii="Times New Roman" w:eastAsia="仿宋_GB2312"/>
          <w:b w:val="0"/>
          <w:sz w:val="32"/>
          <w:szCs w:val="32"/>
        </w:rPr>
        <w:t>，占政府采购支出总额的</w:t>
      </w:r>
      <w:r>
        <w:rPr>
          <w:rFonts w:hint="eastAsia" w:ascii="Times New Roman" w:eastAsia="仿宋_GB2312"/>
          <w:b w:val="0"/>
          <w:sz w:val="32"/>
          <w:szCs w:val="32"/>
          <w:lang w:eastAsia="zh-CN"/>
        </w:rPr>
        <w:t>0%</w:t>
      </w:r>
      <w:r>
        <w:rPr>
          <w:rFonts w:ascii="Times New Roman" w:eastAsia="仿宋_GB2312"/>
          <w:b w:val="0"/>
          <w:sz w:val="32"/>
          <w:szCs w:val="32"/>
        </w:rPr>
        <w:t>。</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八、国有资产占用情况说明</w:t>
      </w:r>
    </w:p>
    <w:p>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截至2024年12月31日，本单位共有车辆1辆，比上年增加1辆，主要是固定资产上划。其中，副部（省）级及以上领导用车0辆，主要负责人用车0辆，机要通信用车0辆，应急保障用车0辆，执法执勤用车</w:t>
      </w:r>
      <w:r>
        <w:rPr>
          <w:rFonts w:hint="eastAsia" w:ascii="Times New Roman" w:eastAsia="仿宋_GB2312"/>
          <w:b w:val="0"/>
          <w:sz w:val="32"/>
          <w:szCs w:val="32"/>
          <w:lang w:val="en-US" w:eastAsia="zh-CN"/>
        </w:rPr>
        <w:t>1</w:t>
      </w:r>
      <w:r>
        <w:rPr>
          <w:rFonts w:ascii="Times New Roman" w:eastAsia="仿宋_GB2312"/>
          <w:b w:val="0"/>
          <w:sz w:val="32"/>
          <w:szCs w:val="32"/>
        </w:rPr>
        <w:t>辆，特种专业技术用车0辆，离退休干部用车0辆，其他用车</w:t>
      </w:r>
      <w:r>
        <w:rPr>
          <w:rFonts w:hint="eastAsia" w:ascii="Times New Roman" w:eastAsia="仿宋_GB2312"/>
          <w:b w:val="0"/>
          <w:sz w:val="32"/>
          <w:szCs w:val="32"/>
          <w:lang w:val="en-US" w:eastAsia="zh-CN"/>
        </w:rPr>
        <w:t>0</w:t>
      </w:r>
      <w:r>
        <w:rPr>
          <w:rFonts w:ascii="Times New Roman" w:eastAsia="仿宋_GB2312"/>
          <w:b w:val="0"/>
          <w:sz w:val="32"/>
          <w:szCs w:val="32"/>
        </w:rPr>
        <w:t>辆。单位价值100万元（含）以上设备（不含车辆）0台（套）。</w:t>
      </w:r>
    </w:p>
    <w:p>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p>
    <w:p>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p>
    <w:p>
      <w:pPr>
        <w:widowControl/>
        <w:numPr>
          <w:ilvl w:val="0"/>
          <w:numId w:val="4"/>
        </w:numPr>
        <w:spacing w:before="0" w:beforeLines="0" w:beforeAutospacing="0" w:after="0" w:afterLines="0" w:afterAutospacing="0" w:line="360" w:lineRule="auto"/>
        <w:ind w:firstLine="640" w:firstLineChars="200"/>
        <w:jc w:val="left"/>
        <w:outlineLvl w:val="1"/>
        <w:rPr>
          <w:rFonts w:ascii="Times New Roman" w:eastAsia="黑体"/>
          <w:b w:val="0"/>
          <w:sz w:val="32"/>
          <w:szCs w:val="32"/>
        </w:rPr>
      </w:pPr>
      <w:r>
        <w:rPr>
          <w:rFonts w:ascii="Times New Roman" w:eastAsia="黑体"/>
          <w:b w:val="0"/>
          <w:sz w:val="32"/>
          <w:szCs w:val="32"/>
        </w:rPr>
        <w:t>关于2024年度绩效评价情况的说明</w:t>
      </w:r>
    </w:p>
    <w:p>
      <w:pPr>
        <w:widowControl/>
        <w:numPr>
          <w:ilvl w:val="0"/>
          <w:numId w:val="5"/>
        </w:numPr>
        <w:spacing w:before="0" w:beforeLines="0" w:beforeAutospacing="0" w:after="0" w:afterLines="0" w:afterAutospacing="0" w:line="360" w:lineRule="auto"/>
        <w:ind w:firstLine="643" w:firstLineChars="200"/>
        <w:jc w:val="left"/>
        <w:rPr>
          <w:rFonts w:ascii="Times New Roman" w:eastAsia="仿宋_GB2312"/>
          <w:b/>
          <w:sz w:val="32"/>
          <w:szCs w:val="32"/>
        </w:rPr>
      </w:pPr>
      <w:r>
        <w:rPr>
          <w:rFonts w:ascii="Times New Roman" w:eastAsia="仿宋_GB2312"/>
          <w:b/>
          <w:sz w:val="32"/>
          <w:szCs w:val="32"/>
        </w:rPr>
        <w:t>绩效评价工作开展情况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根据预算绩效管理要求，本单位组织对2024年度本级预算项目支出全面开展绩效自评，共涉及资金467.39万元（决算金额）。其中，一般公共预算项目1个，涉及资金467.39万元，占一般公共预算项目支出总额的100%；政府性基金预算项目0个，涉及资金0万元，占政府性基金预算项目支出总额的0%；国有资本经营预算项目0个，涉及资金0万元，占国有资本经营预算项目支出总额的0%。</w:t>
      </w:r>
    </w:p>
    <w:p>
      <w:pPr>
        <w:widowControl/>
        <w:spacing w:before="0" w:beforeLines="0" w:beforeAutospacing="0" w:after="0" w:afterLines="0" w:afterAutospacing="0" w:line="240" w:lineRule="auto"/>
        <w:ind w:firstLine="0" w:firstLineChars="0"/>
        <w:jc w:val="left"/>
        <w:rPr>
          <w:rFonts w:ascii="Times New Roman" w:eastAsia="仿宋_GB2312"/>
          <w:b w:val="0"/>
          <w:sz w:val="32"/>
          <w:szCs w:val="32"/>
        </w:rPr>
      </w:pPr>
      <w:r>
        <w:rPr>
          <w:rFonts w:ascii="Times New Roman" w:eastAsia="仿宋_GB2312"/>
          <w:b w:val="0"/>
          <w:sz w:val="32"/>
          <w:szCs w:val="32"/>
        </w:rPr>
        <w:t>组织对冀州分局事业发展经费等1个项目开展了部门重点评价，涉及一般公共预算支出467.39万元，政府性基金预算支出0万元，国有资本经营预算支出0万元，从评价情况来看，我局将进一</w:t>
      </w:r>
      <w:r>
        <w:rPr>
          <w:rFonts w:hint="eastAsia" w:ascii="Times New Roman" w:eastAsia="仿宋_GB2312"/>
          <w:b w:val="0"/>
          <w:sz w:val="32"/>
          <w:szCs w:val="32"/>
          <w:lang w:val="en-US" w:eastAsia="zh-CN"/>
        </w:rPr>
        <w:t>步</w:t>
      </w:r>
      <w:r>
        <w:rPr>
          <w:rFonts w:ascii="Times New Roman" w:eastAsia="仿宋_GB2312"/>
          <w:b w:val="0"/>
          <w:sz w:val="32"/>
          <w:szCs w:val="32"/>
        </w:rPr>
        <w:t>强化预算管理意识，提高预算编制的科学性、合理性、准确性</w:t>
      </w:r>
      <w:r>
        <w:rPr>
          <w:rFonts w:hint="eastAsia" w:ascii="Times New Roman" w:eastAsia="仿宋_GB2312"/>
          <w:b w:val="0"/>
          <w:sz w:val="32"/>
          <w:szCs w:val="32"/>
          <w:lang w:eastAsia="zh-CN"/>
        </w:rPr>
        <w:t>。</w:t>
      </w:r>
    </w:p>
    <w:p>
      <w:pPr>
        <w:widowControl/>
        <w:spacing w:before="0" w:beforeLines="0" w:beforeAutospacing="0" w:after="0" w:afterLines="0" w:afterAutospacing="0" w:line="360" w:lineRule="auto"/>
        <w:ind w:firstLine="321" w:firstLineChars="100"/>
        <w:jc w:val="left"/>
        <w:rPr>
          <w:rFonts w:ascii="Times New Roman" w:eastAsia="仿宋_GB2312"/>
          <w:sz w:val="32"/>
          <w:szCs w:val="32"/>
        </w:rPr>
      </w:pPr>
      <w:r>
        <w:rPr>
          <w:rFonts w:ascii="Times New Roman" w:eastAsia="仿宋_GB2312"/>
          <w:b/>
          <w:sz w:val="32"/>
          <w:szCs w:val="32"/>
        </w:rPr>
        <w:t>（二）部门决算中项目绩效自评结果</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本单位在今年部门决算公开中反映冀州分局事业发展经费等1个项目绩效自评结果。</w:t>
      </w:r>
    </w:p>
    <w:p>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ascii="Times New Roman" w:eastAsia="仿宋_GB2312"/>
          <w:b w:val="0"/>
          <w:sz w:val="32"/>
          <w:szCs w:val="32"/>
        </w:rPr>
        <w:t>冀州分局事业发展经费项目绩效自评情况：根据年初设定的绩效目标，冀州分局事业发展经费项目绩效自评得分为100分（绩效自评表附后）。全年预算数为467.48万元，执行数为467.39​​万元，完成预算的99.98%。项目绩效目标完成情况：一是按时支出人员经费及社会保障费；二是保障环保工作正常运行。发现的主要问题</w:t>
      </w:r>
      <w:r>
        <w:rPr>
          <w:rFonts w:hint="eastAsia" w:ascii="Times New Roman" w:eastAsia="仿宋_GB2312"/>
          <w:b w:val="0"/>
          <w:sz w:val="32"/>
          <w:szCs w:val="32"/>
          <w:lang w:eastAsia="zh-CN"/>
        </w:rPr>
        <w:t>：</w:t>
      </w:r>
      <w:r>
        <w:rPr>
          <w:rFonts w:hint="eastAsia" w:ascii="Times New Roman" w:eastAsia="仿宋_GB2312"/>
          <w:b w:val="0"/>
          <w:sz w:val="32"/>
          <w:szCs w:val="32"/>
          <w:lang w:val="en-US" w:eastAsia="zh-CN"/>
        </w:rPr>
        <w:t>未发现问题。</w:t>
      </w:r>
    </w:p>
    <w:p>
      <w:pPr>
        <w:widowControl/>
        <w:spacing w:before="0" w:beforeLines="0" w:beforeAutospacing="0" w:after="0" w:afterLines="0" w:afterAutospacing="0" w:line="360" w:lineRule="auto"/>
        <w:ind w:firstLine="480" w:firstLineChars="200"/>
        <w:jc w:val="left"/>
        <w:rPr>
          <w:rFonts w:hint="eastAsia" w:ascii="Times New Roman" w:eastAsia="仿宋_GB2312"/>
          <w:b w:val="0"/>
          <w:sz w:val="32"/>
          <w:szCs w:val="32"/>
          <w:lang w:val="en-US" w:eastAsia="zh-CN"/>
        </w:rPr>
      </w:pPr>
      <w:r>
        <w:drawing>
          <wp:inline distT="0" distB="0" distL="114300" distR="114300">
            <wp:extent cx="5405120" cy="6672580"/>
            <wp:effectExtent l="0" t="0" r="5080" b="1397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9"/>
                    <a:stretch>
                      <a:fillRect/>
                    </a:stretch>
                  </pic:blipFill>
                  <pic:spPr>
                    <a:xfrm>
                      <a:off x="0" y="0"/>
                      <a:ext cx="5405120" cy="6672580"/>
                    </a:xfrm>
                    <a:prstGeom prst="rect">
                      <a:avLst/>
                    </a:prstGeom>
                    <a:noFill/>
                    <a:ln>
                      <a:noFill/>
                    </a:ln>
                  </pic:spPr>
                </pic:pic>
              </a:graphicData>
            </a:graphic>
          </wp:inline>
        </w:drawing>
      </w:r>
    </w:p>
    <w:p>
      <w:pPr>
        <w:widowControl/>
        <w:spacing w:before="0" w:beforeLines="0" w:beforeAutospacing="0" w:after="0" w:afterLines="0" w:afterAutospacing="0" w:line="360" w:lineRule="auto"/>
        <w:ind w:firstLine="643" w:firstLineChars="200"/>
        <w:jc w:val="left"/>
        <w:rPr>
          <w:rFonts w:hint="default" w:ascii="Times New Roman" w:eastAsia="仿宋_GB2312"/>
          <w:b/>
          <w:sz w:val="32"/>
          <w:szCs w:val="32"/>
          <w:lang w:val="en-US" w:eastAsia="zh-CN"/>
        </w:rPr>
      </w:pPr>
      <w:r>
        <w:rPr>
          <w:rFonts w:ascii="Times New Roman" w:eastAsia="仿宋_GB2312"/>
          <w:b/>
          <w:sz w:val="32"/>
          <w:szCs w:val="32"/>
        </w:rPr>
        <w:t>（三）部门评价项目绩效评价结果</w:t>
      </w:r>
      <w:r>
        <w:rPr>
          <w:rFonts w:hint="eastAsia" w:ascii="Times New Roman" w:eastAsia="仿宋_GB2312"/>
          <w:b/>
          <w:sz w:val="32"/>
          <w:szCs w:val="32"/>
          <w:lang w:val="en-US" w:eastAsia="zh-CN"/>
        </w:rPr>
        <w:t xml:space="preserve">  </w:t>
      </w:r>
    </w:p>
    <w:p>
      <w:pPr>
        <w:widowControl/>
        <w:spacing w:before="0" w:beforeLines="0" w:beforeAutospacing="0" w:after="0" w:afterLines="0" w:afterAutospacing="0" w:line="360" w:lineRule="auto"/>
        <w:ind w:firstLine="643" w:firstLineChars="200"/>
        <w:jc w:val="left"/>
        <w:rPr>
          <w:rFonts w:ascii="Times New Roman" w:eastAsia="仿宋_GB2312"/>
          <w:b/>
          <w:sz w:val="32"/>
          <w:szCs w:val="32"/>
        </w:rPr>
      </w:pP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本部门决算公开中反映的冀州分局事业发展经费项目，根据上述部门预算项目自评表的评分情况，改项目绩效指标总得分100分，评估等次为优。</w:t>
      </w:r>
    </w:p>
    <w:p>
      <w:pPr>
        <w:widowControl/>
        <w:spacing w:before="0" w:beforeLines="0" w:beforeAutospacing="0" w:after="0" w:afterLines="0" w:afterAutospacing="0" w:line="360" w:lineRule="auto"/>
        <w:ind w:firstLine="640" w:firstLineChars="200"/>
        <w:jc w:val="left"/>
        <w:rPr>
          <w:rFonts w:ascii="Times New Roman" w:eastAsia="黑体"/>
          <w:sz w:val="32"/>
          <w:szCs w:val="32"/>
        </w:rPr>
      </w:pPr>
      <w:r>
        <w:rPr>
          <w:rFonts w:ascii="Times New Roman" w:eastAsia="黑体"/>
          <w:b w:val="0"/>
          <w:sz w:val="32"/>
          <w:szCs w:val="32"/>
        </w:rPr>
        <w:t>十、其他需要说明的情况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1.本单位2024年度政府性基金预算财政拨款收入支出决算表（公开07表）、国有资本经营预算财政拨款支出决算表（公开08表）无相应收支，故空表列示。</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 由于决算公开表格中金额数值应当保留两位小数，公开数据为四舍五入计算结果，个别数据合计项与分项之和存在小数点后差额，特此说明。</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第四部分   名词解释</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一、财政拨款收入：</w:t>
      </w:r>
      <w:r>
        <w:rPr>
          <w:rFonts w:ascii="Times New Roman" w:eastAsia="仿宋_GB2312"/>
          <w:b w:val="0"/>
          <w:sz w:val="32"/>
          <w:szCs w:val="32"/>
        </w:rPr>
        <w:t>指单位从同级财政部门取得的财政预算资金。</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二、事业收入：</w:t>
      </w:r>
      <w:r>
        <w:rPr>
          <w:rFonts w:ascii="Times New Roman" w:eastAsia="仿宋_GB2312"/>
          <w:b w:val="0"/>
          <w:sz w:val="32"/>
          <w:szCs w:val="32"/>
        </w:rPr>
        <w:t>指事业单位开展专业业务活动及辅助活动取得的收入。</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三、经营收入：</w:t>
      </w:r>
      <w:r>
        <w:rPr>
          <w:rFonts w:ascii="Times New Roman" w:eastAsia="仿宋_GB2312"/>
          <w:b w:val="0"/>
          <w:sz w:val="32"/>
          <w:szCs w:val="32"/>
        </w:rPr>
        <w:t>指事业单位在专业业务活动及其辅助活动之外开展非独立核算经营活动取得的收入。</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四、其他收入：</w:t>
      </w:r>
      <w:r>
        <w:rPr>
          <w:rFonts w:ascii="Times New Roman" w:eastAsia="仿宋_GB2312"/>
          <w:b w:val="0"/>
          <w:sz w:val="32"/>
          <w:szCs w:val="32"/>
        </w:rPr>
        <w:t>指单位取得的除上述收入以外的各项收入。主要是事业单位固定资产出租收入、存款利息收入等。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五、使用非财政拨款结余（含专用结余）：</w:t>
      </w:r>
      <w:r>
        <w:rPr>
          <w:rFonts w:ascii="Times New Roman" w:eastAsia="仿宋_GB2312"/>
          <w:b w:val="0"/>
          <w:sz w:val="32"/>
          <w:szCs w:val="32"/>
        </w:rPr>
        <w:t>指事业单位按照预算管理要求使用非财政拨款结余弥补收支差额的金额，以及使用专用结余安排支出的金额。</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六、年初结转和结余：</w:t>
      </w:r>
      <w:r>
        <w:rPr>
          <w:rFonts w:ascii="Times New Roman" w:eastAsia="仿宋_GB2312"/>
          <w:b w:val="0"/>
          <w:sz w:val="32"/>
          <w:szCs w:val="32"/>
        </w:rPr>
        <w:t>指单位以前年度尚未完成、结转到本年仍按原规定用途继续使用的资金，或项目已完成等产生的结余资金。</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七、结余分配：</w:t>
      </w:r>
      <w:r>
        <w:rPr>
          <w:rFonts w:ascii="Times New Roman" w:eastAsia="仿宋_GB2312"/>
          <w:b w:val="0"/>
          <w:sz w:val="32"/>
          <w:szCs w:val="32"/>
        </w:rPr>
        <w:t>指事业单位按照会计制度规定缴纳的所得税、提取的专用结余以及转入非财政拨款结余的金额等。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八、年末结转和结余：</w:t>
      </w:r>
      <w:r>
        <w:rPr>
          <w:rFonts w:ascii="Times New Roman" w:eastAsia="仿宋_GB2312"/>
          <w:b w:val="0"/>
          <w:sz w:val="32"/>
          <w:szCs w:val="32"/>
        </w:rPr>
        <w:t>指单位按有关规定结转到下年或以后年度继续使用的资金，或项目已完成等产生的结余资金。</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九、基本支出：</w:t>
      </w:r>
      <w:r>
        <w:rPr>
          <w:rFonts w:ascii="Times New Roman" w:eastAsia="仿宋_GB2312"/>
          <w:b w:val="0"/>
          <w:sz w:val="32"/>
          <w:szCs w:val="32"/>
        </w:rPr>
        <w:t>指为保障机构正常运转、完成日常工作任务而发生的人员支出和公用支出。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十、项目支出：</w:t>
      </w:r>
      <w:r>
        <w:rPr>
          <w:rFonts w:ascii="Times New Roman" w:eastAsia="仿宋_GB2312"/>
          <w:b w:val="0"/>
          <w:sz w:val="32"/>
          <w:szCs w:val="32"/>
        </w:rPr>
        <w:t>指在基本支出之外为完成特定行政任务和事业发展目标所发生的支出。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十一、经营支出 ：</w:t>
      </w:r>
      <w:r>
        <w:rPr>
          <w:rFonts w:ascii="Times New Roman" w:eastAsia="仿宋_GB2312"/>
          <w:b w:val="0"/>
          <w:sz w:val="32"/>
          <w:szCs w:val="32"/>
        </w:rPr>
        <w:t>指事业单位在专业业务活动及其辅助活动之外开展非独立核算经营活动发生的支出。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十二、基本建设支出：</w:t>
      </w:r>
      <w:r>
        <w:rPr>
          <w:rFonts w:ascii="Times New Roman" w:eastAsia="仿宋_GB2312"/>
          <w:b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十三、其他资本性支出：</w:t>
      </w:r>
      <w:r>
        <w:rPr>
          <w:rFonts w:ascii="Times New Roman" w:eastAsia="仿宋_GB2312"/>
          <w:b w:val="0"/>
          <w:sz w:val="32"/>
          <w:szCs w:val="32"/>
        </w:rPr>
        <w:t>填列由各级非发展与改革部门集中安排的用于购置固定资产、战备性和应急性储备、土地和无形资产，以及购建基础设施、大型修缮和财政支持企业更新改造所发生的支出。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十四、“三公”经费：</w:t>
      </w:r>
      <w:r>
        <w:rPr>
          <w:rFonts w:ascii="Times New Roman" w:eastAsia="仿宋_GB2312"/>
          <w:b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十五、其他交通费用：</w:t>
      </w:r>
      <w:r>
        <w:rPr>
          <w:rFonts w:ascii="Times New Roman" w:eastAsia="仿宋_GB2312"/>
          <w:b w:val="0"/>
          <w:sz w:val="32"/>
          <w:szCs w:val="32"/>
        </w:rPr>
        <w:t>填列单位除公务用车运行维护费以外的其他交通费用。如公务交通补贴、租车费用、出租车费用，飞机、船舶等燃料费、维修费、保险费等。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十六、公务用车购置：</w:t>
      </w:r>
      <w:r>
        <w:rPr>
          <w:rFonts w:ascii="Times New Roman" w:eastAsia="仿宋_GB2312"/>
          <w:b w:val="0"/>
          <w:sz w:val="32"/>
          <w:szCs w:val="32"/>
        </w:rPr>
        <w:t>填列单位公务用车车辆购置支出（含车辆购置税、牌照费）。</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十七、其他交通工具购置：</w:t>
      </w:r>
      <w:r>
        <w:rPr>
          <w:rFonts w:ascii="Times New Roman" w:eastAsia="仿宋_GB2312"/>
          <w:b w:val="0"/>
          <w:sz w:val="32"/>
          <w:szCs w:val="32"/>
        </w:rPr>
        <w:t>填列单位除公务用车外的其他各类交通工具（如船舶、飞机等）购置支出（含车辆购置税、牌照费）。</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十八、机关运行经费：</w:t>
      </w:r>
      <w:r>
        <w:rPr>
          <w:rFonts w:ascii="Times New Roman" w:eastAsia="仿宋_GB2312"/>
          <w:b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auto"/>
    <w:pitch w:val="default"/>
    <w:sig w:usb0="00000000" w:usb1="00000000"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ArialUnicodeMS">
    <w:altName w:val="DejaVu Sans"/>
    <w:panose1 w:val="00000000000000000000"/>
    <w:charset w:val="81"/>
    <w:family w:val="auto"/>
    <w:pitch w:val="default"/>
    <w:sig w:usb0="00000000" w:usb1="00000000" w:usb2="00000010" w:usb3="00000000" w:csb0="00080001"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2312">
    <w:altName w:val="方正仿宋_GBK"/>
    <w:panose1 w:val="02000000000000000000"/>
    <w:charset w:val="00"/>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244AB5"/>
    <w:multiLevelType w:val="singleLevel"/>
    <w:tmpl w:val="B7244AB5"/>
    <w:lvl w:ilvl="0" w:tentative="0">
      <w:start w:val="4"/>
      <w:numFmt w:val="chineseCounting"/>
      <w:suff w:val="nothing"/>
      <w:lvlText w:val="（%1）"/>
      <w:lvlJc w:val="left"/>
      <w:rPr>
        <w:rFonts w:hint="eastAsia"/>
      </w:rPr>
    </w:lvl>
  </w:abstractNum>
  <w:abstractNum w:abstractNumId="1">
    <w:nsid w:val="CF70AF5B"/>
    <w:multiLevelType w:val="singleLevel"/>
    <w:tmpl w:val="CF70AF5B"/>
    <w:lvl w:ilvl="0" w:tentative="0">
      <w:start w:val="3"/>
      <w:numFmt w:val="decimal"/>
      <w:lvlText w:val="%1."/>
      <w:lvlJc w:val="left"/>
      <w:pPr>
        <w:tabs>
          <w:tab w:val="left" w:pos="312"/>
        </w:tabs>
      </w:pPr>
    </w:lvl>
  </w:abstractNum>
  <w:abstractNum w:abstractNumId="2">
    <w:nsid w:val="D20B06DA"/>
    <w:multiLevelType w:val="singleLevel"/>
    <w:tmpl w:val="D20B06DA"/>
    <w:lvl w:ilvl="0" w:tentative="0">
      <w:start w:val="9"/>
      <w:numFmt w:val="chineseCounting"/>
      <w:suff w:val="nothing"/>
      <w:lvlText w:val="%1、"/>
      <w:lvlJc w:val="left"/>
      <w:rPr>
        <w:rFonts w:hint="eastAsia"/>
      </w:rPr>
    </w:lvl>
  </w:abstractNum>
  <w:abstractNum w:abstractNumId="3">
    <w:nsid w:val="292E58B1"/>
    <w:multiLevelType w:val="singleLevel"/>
    <w:tmpl w:val="292E58B1"/>
    <w:lvl w:ilvl="0" w:tentative="0">
      <w:start w:val="1"/>
      <w:numFmt w:val="chineseCounting"/>
      <w:suff w:val="nothing"/>
      <w:lvlText w:val="（%1）"/>
      <w:lvlJc w:val="left"/>
      <w:rPr>
        <w:rFonts w:hint="eastAsia"/>
      </w:rPr>
    </w:lvl>
  </w:abstractNum>
  <w:abstractNum w:abstractNumId="4">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70734"/>
    <w:rsid w:val="0B4F5E6D"/>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611B0F"/>
    <w:rsid w:val="2AC1762B"/>
    <w:rsid w:val="2AE845D0"/>
    <w:rsid w:val="2B4975FB"/>
    <w:rsid w:val="2B695031"/>
    <w:rsid w:val="2B735A8F"/>
    <w:rsid w:val="2BA7478D"/>
    <w:rsid w:val="2BB038DB"/>
    <w:rsid w:val="2BB761E0"/>
    <w:rsid w:val="2BB812F9"/>
    <w:rsid w:val="2BE35C27"/>
    <w:rsid w:val="2BFA504B"/>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330424"/>
    <w:rsid w:val="36FE3ABA"/>
    <w:rsid w:val="37072BDE"/>
    <w:rsid w:val="37455334"/>
    <w:rsid w:val="37527C32"/>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8626D0"/>
    <w:rsid w:val="3D953A6B"/>
    <w:rsid w:val="3DBB5979"/>
    <w:rsid w:val="3DD56F21"/>
    <w:rsid w:val="3DEF6699"/>
    <w:rsid w:val="3E1057AF"/>
    <w:rsid w:val="3E6C0DFA"/>
    <w:rsid w:val="3E740322"/>
    <w:rsid w:val="3E7F4380"/>
    <w:rsid w:val="3E8D171B"/>
    <w:rsid w:val="3EA5630D"/>
    <w:rsid w:val="3EBA731B"/>
    <w:rsid w:val="3EE33949"/>
    <w:rsid w:val="3EFB5800"/>
    <w:rsid w:val="3F3B4E59"/>
    <w:rsid w:val="3F6E677C"/>
    <w:rsid w:val="3F712F46"/>
    <w:rsid w:val="3FBC0EF7"/>
    <w:rsid w:val="3FCD2AB9"/>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6232437"/>
    <w:rsid w:val="56541A75"/>
    <w:rsid w:val="568832FC"/>
    <w:rsid w:val="568C4181"/>
    <w:rsid w:val="570725A9"/>
    <w:rsid w:val="5714693E"/>
    <w:rsid w:val="571D0C9C"/>
    <w:rsid w:val="573A16CE"/>
    <w:rsid w:val="579C7F80"/>
    <w:rsid w:val="57B30D7C"/>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6CB5E2D"/>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C0C698C"/>
    <w:rsid w:val="6C222401"/>
    <w:rsid w:val="6C56267F"/>
    <w:rsid w:val="6C826EF9"/>
    <w:rsid w:val="6CAE4C93"/>
    <w:rsid w:val="6CB14F16"/>
    <w:rsid w:val="6CEC2069"/>
    <w:rsid w:val="6CFE5C1C"/>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6A729D"/>
    <w:rsid w:val="73177841"/>
    <w:rsid w:val="733774FE"/>
    <w:rsid w:val="73617E1B"/>
    <w:rsid w:val="736D7653"/>
    <w:rsid w:val="738035CB"/>
    <w:rsid w:val="73852C46"/>
    <w:rsid w:val="7396335C"/>
    <w:rsid w:val="73F46595"/>
    <w:rsid w:val="73F47FAE"/>
    <w:rsid w:val="74283FA2"/>
    <w:rsid w:val="742C135B"/>
    <w:rsid w:val="74463733"/>
    <w:rsid w:val="748A2F40"/>
    <w:rsid w:val="74D84FF7"/>
    <w:rsid w:val="74F85778"/>
    <w:rsid w:val="75272439"/>
    <w:rsid w:val="758F1E9B"/>
    <w:rsid w:val="75CE266B"/>
    <w:rsid w:val="76120141"/>
    <w:rsid w:val="768216BE"/>
    <w:rsid w:val="76C23B43"/>
    <w:rsid w:val="76FD6F97"/>
    <w:rsid w:val="770218E8"/>
    <w:rsid w:val="779469CE"/>
    <w:rsid w:val="77C875A5"/>
    <w:rsid w:val="78A27DF6"/>
    <w:rsid w:val="79285B3A"/>
    <w:rsid w:val="79490B03"/>
    <w:rsid w:val="79625CA9"/>
    <w:rsid w:val="79A91196"/>
    <w:rsid w:val="7A0B32D3"/>
    <w:rsid w:val="7AC13CD3"/>
    <w:rsid w:val="7AE10264"/>
    <w:rsid w:val="7AE4248E"/>
    <w:rsid w:val="7B4A207F"/>
    <w:rsid w:val="7B936F45"/>
    <w:rsid w:val="7BA47419"/>
    <w:rsid w:val="7BB10D45"/>
    <w:rsid w:val="7BB44151"/>
    <w:rsid w:val="7C656A39"/>
    <w:rsid w:val="7CB93996"/>
    <w:rsid w:val="7CBE0F99"/>
    <w:rsid w:val="7D4E45F1"/>
    <w:rsid w:val="7DFB6D82"/>
    <w:rsid w:val="7E1D71D1"/>
    <w:rsid w:val="7E246254"/>
    <w:rsid w:val="7E553215"/>
    <w:rsid w:val="7E6D090F"/>
    <w:rsid w:val="7ECC66B2"/>
    <w:rsid w:val="7F2914C3"/>
    <w:rsid w:val="7F5F2ED6"/>
    <w:rsid w:val="7FA837EF"/>
    <w:rsid w:val="7FC36955"/>
    <w:rsid w:val="7FE903A0"/>
    <w:rsid w:val="7FF07065"/>
    <w:rsid w:val="7FF97946"/>
    <w:rsid w:val="7FFE7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chart" Target="charts/chart6.xml"/><Relationship Id="rId17" Type="http://schemas.openxmlformats.org/officeDocument/2006/relationships/chart" Target="charts/chart5.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1 </a:t>
            </a:r>
            <a:r>
              <a:rPr lang="zh-CN" altLang="en-US"/>
              <a:t>： </a:t>
            </a:r>
            <a:r>
              <a:rPr lang="en-US" altLang="zh-CN"/>
              <a:t>2023-2024</a:t>
            </a:r>
            <a:r>
              <a:rPr lang="zh-CN" altLang="en-US"/>
              <a:t>年收支总计对比图（万元）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596.53</c:v>
                </c:pt>
                <c:pt idx="1">
                  <c:v>597.88</c:v>
                </c:pt>
              </c:numCache>
            </c:numRef>
          </c:val>
        </c:ser>
        <c:dLbls>
          <c:showLegendKey val="0"/>
          <c:showVal val="1"/>
          <c:showCatName val="0"/>
          <c:showSerName val="0"/>
          <c:showPercent val="0"/>
          <c:showBubbleSize val="0"/>
        </c:dLbls>
        <c:gapWidth val="246"/>
        <c:overlap val="-28"/>
        <c:axId val="817088452"/>
        <c:axId val="587069473"/>
      </c:barChart>
      <c:catAx>
        <c:axId val="8170884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069473"/>
        <c:crosses val="autoZero"/>
        <c:auto val="1"/>
        <c:lblAlgn val="ctr"/>
        <c:lblOffset val="100"/>
        <c:noMultiLvlLbl val="0"/>
      </c:catAx>
      <c:valAx>
        <c:axId val="58706947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70884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2 </a:t>
            </a:r>
            <a:r>
              <a:rPr lang="zh-CN" altLang="en-US"/>
              <a:t>：收入决算构成情况图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0"/>
              <c:layout>
                <c:manualLayout>
                  <c:x val="0.320125539403024"/>
                  <c:y val="0.72690713982147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08045516407558"/>
                  <c:y val="0.63914683382912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405411836540074"/>
                  <c:y val="0.171855078623054"/>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37059073523162"/>
                    </c:manualLayout>
                  </c15:layout>
                </c:ext>
              </c:extLst>
            </c:dLbl>
            <c:dLbl>
              <c:idx val="3"/>
              <c:layout>
                <c:manualLayout>
                  <c:x val="-0.286905148238858"/>
                  <c:y val="0.270250743731381"/>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709732256694"/>
                    </c:manualLayout>
                  </c15:layout>
                </c:ext>
              </c:extLst>
            </c:dLbl>
            <c:dLbl>
              <c:idx val="4"/>
              <c:layout>
                <c:manualLayout>
                  <c:x val="-0.298985360795255"/>
                  <c:y val="0.4491606459838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211403720706"/>
                      <c:h val="0.154908627284318"/>
                    </c:manualLayout>
                  </c15:layout>
                </c:ext>
              </c:extLst>
            </c:dLbl>
            <c:dLbl>
              <c:idx val="5"/>
              <c:layout>
                <c:manualLayout>
                  <c:x val="-0.288475575878384"/>
                  <c:y val="0.124165958351015"/>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922226944326"/>
                    </c:manualLayout>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1"/>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财政拨款收入</c:v>
                </c:pt>
                <c:pt idx="1">
                  <c:v>上级补助收入</c:v>
                </c:pt>
                <c:pt idx="2">
                  <c:v>事业收入</c:v>
                </c:pt>
                <c:pt idx="3">
                  <c:v>经营收入</c:v>
                </c:pt>
                <c:pt idx="4">
                  <c:v>附属单位上缴收入</c:v>
                </c:pt>
                <c:pt idx="5">
                  <c:v>其他收入</c:v>
                </c:pt>
              </c:strCache>
            </c:strRef>
          </c:cat>
          <c:val>
            <c:numRef>
              <c:f>Sheet1!$B$2:$B$7</c:f>
              <c:numCache>
                <c:formatCode>General</c:formatCode>
                <c:ptCount val="6"/>
                <c:pt idx="0">
                  <c:v>5978760.33</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lang="zh-CN" altLang="en-US" b="1"/>
              <a:t>图 </a:t>
            </a:r>
            <a:r>
              <a:rPr lang="en-US" altLang="zh-CN" b="1"/>
              <a:t>3 </a:t>
            </a:r>
            <a:r>
              <a:rPr lang="zh-CN" altLang="en-US" b="1"/>
              <a:t>：支出决算构成情况图</a:t>
            </a:r>
            <a:endParaRPr lang="zh-CN" altLang="en-US" b="1"/>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manualLayout>
                  <c:x val="0.346218893452525"/>
                  <c:y val="0.7154696132596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57095916888137"/>
                  <c:y val="0.097938376540627"/>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92703551582508"/>
                  <c:y val="0.26689332766680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315235684561946"/>
                  <c:y val="0.468316617084613"/>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273558967655045"/>
                  <c:y val="0.71821036974079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1"/>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1304860.49</c:v>
                </c:pt>
                <c:pt idx="1">
                  <c:v>4673899.84</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4 </a:t>
            </a:r>
            <a:r>
              <a:rPr lang="zh-CN" altLang="en-US"/>
              <a:t>：</a:t>
            </a:r>
            <a:r>
              <a:rPr lang="en-US" altLang="zh-CN"/>
              <a:t>2023-2024</a:t>
            </a:r>
            <a:r>
              <a:rPr lang="zh-CN" altLang="en-US"/>
              <a:t>年财政拨款收支对比图（万元）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596.53</c:v>
                </c:pt>
                <c:pt idx="1">
                  <c:v>596.53</c:v>
                </c:pt>
                <c:pt idx="2">
                  <c:v>596.53</c:v>
                </c:pt>
                <c:pt idx="3">
                  <c:v>596.53</c:v>
                </c:pt>
                <c:pt idx="4">
                  <c:v>0</c:v>
                </c:pt>
                <c:pt idx="5">
                  <c:v>0</c:v>
                </c:pt>
                <c:pt idx="6">
                  <c:v>0</c:v>
                </c:pt>
                <c:pt idx="7">
                  <c:v>0</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597.88</c:v>
                </c:pt>
                <c:pt idx="1">
                  <c:v>597.88</c:v>
                </c:pt>
                <c:pt idx="2">
                  <c:v>597.88</c:v>
                </c:pt>
                <c:pt idx="3">
                  <c:v>597.88</c:v>
                </c:pt>
                <c:pt idx="4">
                  <c:v>0</c:v>
                </c:pt>
                <c:pt idx="5">
                  <c:v>0</c:v>
                </c:pt>
                <c:pt idx="6">
                  <c:v>0</c:v>
                </c:pt>
                <c:pt idx="7">
                  <c:v>0</c:v>
                </c:pt>
              </c:numCache>
            </c:numRef>
          </c:val>
        </c:ser>
        <c:dLbls>
          <c:showLegendKey val="0"/>
          <c:showVal val="1"/>
          <c:showCatName val="0"/>
          <c:showSerName val="0"/>
          <c:showPercent val="0"/>
          <c:showBubbleSize val="0"/>
        </c:dLbls>
        <c:gapWidth val="246"/>
        <c:overlap val="-28"/>
        <c:axId val="40225855"/>
        <c:axId val="660958640"/>
      </c:barChart>
      <c:catAx>
        <c:axId val="40225855"/>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0958640"/>
        <c:crosses val="autoZero"/>
        <c:auto val="1"/>
        <c:lblAlgn val="ctr"/>
        <c:lblOffset val="100"/>
        <c:noMultiLvlLbl val="0"/>
      </c:catAx>
      <c:valAx>
        <c:axId val="66095864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22585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5 :</a:t>
            </a:r>
            <a:r>
              <a:rPr lang="zh-CN" altLang="en-US"/>
              <a:t>财政拨款收支预算对比图（万元）</a:t>
            </a:r>
            <a:endParaRPr lang="zh-CN" altLang="en-US"/>
          </a:p>
        </c:rich>
      </c:tx>
      <c:layout/>
      <c:overlay val="0"/>
      <c:spPr>
        <a:noFill/>
        <a:ln>
          <a:noFill/>
        </a:ln>
        <a:effectLst/>
      </c:spPr>
    </c:title>
    <c:autoTitleDeleted val="0"/>
    <c:plotArea>
      <c:layout>
        <c:manualLayout>
          <c:layoutTarget val="inner"/>
          <c:xMode val="edge"/>
          <c:yMode val="edge"/>
          <c:x val="0.17641942498188"/>
          <c:y val="0.160433489162771"/>
          <c:w val="0.795796086011114"/>
          <c:h val="0.474330641733957"/>
        </c:manualLayout>
      </c:layout>
      <c:barChart>
        <c:barDir val="col"/>
        <c:grouping val="clustered"/>
        <c:varyColors val="0"/>
        <c:ser>
          <c:idx val="0"/>
          <c:order val="0"/>
          <c:tx>
            <c:strRef>
              <c:f>Sheet1!$B$1</c:f>
              <c:strCache>
                <c:ptCount val="1"/>
                <c:pt idx="0">
                  <c:v>年初预算数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627.05</c:v>
                </c:pt>
                <c:pt idx="1">
                  <c:v>627.05</c:v>
                </c:pt>
                <c:pt idx="2">
                  <c:v>627.05</c:v>
                </c:pt>
                <c:pt idx="3">
                  <c:v>627.05</c:v>
                </c:pt>
                <c:pt idx="4">
                  <c:v>0</c:v>
                </c:pt>
                <c:pt idx="5">
                  <c:v>0</c:v>
                </c:pt>
                <c:pt idx="6">
                  <c:v>0</c:v>
                </c:pt>
                <c:pt idx="7">
                  <c:v>0</c:v>
                </c:pt>
              </c:numCache>
            </c:numRef>
          </c:val>
        </c:ser>
        <c:ser>
          <c:idx val="1"/>
          <c:order val="1"/>
          <c:tx>
            <c:strRef>
              <c:f>Sheet1!$C$1</c:f>
              <c:strCache>
                <c:ptCount val="1"/>
                <c:pt idx="0">
                  <c:v>决算数</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597.88</c:v>
                </c:pt>
                <c:pt idx="1">
                  <c:v>597.88</c:v>
                </c:pt>
                <c:pt idx="2">
                  <c:v>597.88</c:v>
                </c:pt>
                <c:pt idx="3">
                  <c:v>597.88</c:v>
                </c:pt>
                <c:pt idx="4">
                  <c:v>0</c:v>
                </c:pt>
                <c:pt idx="5">
                  <c:v>0</c:v>
                </c:pt>
                <c:pt idx="6">
                  <c:v>0</c:v>
                </c:pt>
                <c:pt idx="7">
                  <c:v>0</c:v>
                </c:pt>
              </c:numCache>
            </c:numRef>
          </c:val>
        </c:ser>
        <c:dLbls>
          <c:showLegendKey val="0"/>
          <c:showVal val="1"/>
          <c:showCatName val="0"/>
          <c:showSerName val="0"/>
          <c:showPercent val="0"/>
          <c:showBubbleSize val="0"/>
        </c:dLbls>
        <c:gapWidth val="150"/>
        <c:axId val="136214206"/>
        <c:axId val="897256872"/>
      </c:barChart>
      <c:catAx>
        <c:axId val="13621420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7256872"/>
        <c:crosses val="autoZero"/>
        <c:auto val="1"/>
        <c:lblAlgn val="ctr"/>
        <c:lblOffset val="100"/>
        <c:noMultiLvlLbl val="0"/>
      </c:catAx>
      <c:valAx>
        <c:axId val="89725687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621420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rPr lang="zh-CN" altLang="en-US"/>
              <a:t>图</a:t>
            </a:r>
            <a:r>
              <a:rPr lang="en-US" altLang="zh-CN"/>
              <a:t>6  : </a:t>
            </a:r>
            <a:r>
              <a:rPr lang="zh-CN" altLang="en-US"/>
              <a:t>财政拨款支出决算构成情况图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Pt>
            <c:idx val="9"/>
            <c:bubble3D val="0"/>
            <c:spPr>
              <a:solidFill>
                <a:schemeClr val="accent4">
                  <a:lumMod val="60000"/>
                </a:schemeClr>
              </a:solidFill>
              <a:ln>
                <a:solidFill>
                  <a:schemeClr val="bg1"/>
                </a:solidFill>
              </a:ln>
              <a:effectLst/>
            </c:spPr>
          </c:dPt>
          <c:dPt>
            <c:idx val="10"/>
            <c:bubble3D val="0"/>
            <c:spPr>
              <a:solidFill>
                <a:schemeClr val="accent5">
                  <a:lumMod val="60000"/>
                </a:schemeClr>
              </a:solidFill>
              <a:ln>
                <a:solidFill>
                  <a:schemeClr val="bg1"/>
                </a:solidFill>
              </a:ln>
              <a:effectLst/>
            </c:spPr>
          </c:dPt>
          <c:dPt>
            <c:idx val="11"/>
            <c:bubble3D val="0"/>
            <c:spPr>
              <a:solidFill>
                <a:schemeClr val="accent6">
                  <a:lumMod val="60000"/>
                </a:schemeClr>
              </a:solidFill>
              <a:ln>
                <a:solidFill>
                  <a:schemeClr val="bg1"/>
                </a:solidFill>
              </a:ln>
              <a:effectLst/>
            </c:spPr>
          </c:dPt>
          <c:dPt>
            <c:idx val="12"/>
            <c:bubble3D val="0"/>
            <c:spPr>
              <a:solidFill>
                <a:schemeClr val="accent1">
                  <a:lumMod val="80000"/>
                  <a:lumOff val="20000"/>
                </a:schemeClr>
              </a:solidFill>
              <a:ln>
                <a:solidFill>
                  <a:schemeClr val="bg1"/>
                </a:solidFill>
              </a:ln>
              <a:effectLst/>
            </c:spPr>
          </c:dPt>
          <c:dPt>
            <c:idx val="13"/>
            <c:bubble3D val="0"/>
            <c:spPr>
              <a:solidFill>
                <a:schemeClr val="accent2">
                  <a:lumMod val="80000"/>
                  <a:lumOff val="20000"/>
                </a:schemeClr>
              </a:solidFill>
              <a:ln>
                <a:solidFill>
                  <a:schemeClr val="bg1"/>
                </a:solidFill>
              </a:ln>
              <a:effectLst/>
            </c:spPr>
          </c:dPt>
          <c:dPt>
            <c:idx val="14"/>
            <c:bubble3D val="0"/>
            <c:spPr>
              <a:solidFill>
                <a:schemeClr val="accent3">
                  <a:lumMod val="80000"/>
                  <a:lumOff val="20000"/>
                </a:schemeClr>
              </a:solidFill>
              <a:ln>
                <a:solidFill>
                  <a:schemeClr val="bg1"/>
                </a:solidFill>
              </a:ln>
              <a:effectLst/>
            </c:spPr>
          </c:dPt>
          <c:dPt>
            <c:idx val="15"/>
            <c:bubble3D val="0"/>
            <c:spPr>
              <a:solidFill>
                <a:schemeClr val="accent4">
                  <a:lumMod val="80000"/>
                  <a:lumOff val="20000"/>
                </a:schemeClr>
              </a:solidFill>
              <a:ln>
                <a:solidFill>
                  <a:schemeClr val="bg1"/>
                </a:solidFill>
              </a:ln>
              <a:effectLst/>
            </c:spPr>
          </c:dPt>
          <c:dPt>
            <c:idx val="16"/>
            <c:bubble3D val="0"/>
            <c:spPr>
              <a:solidFill>
                <a:schemeClr val="accent5">
                  <a:lumMod val="80000"/>
                  <a:lumOff val="20000"/>
                </a:schemeClr>
              </a:solidFill>
              <a:ln>
                <a:solidFill>
                  <a:schemeClr val="bg1"/>
                </a:solidFill>
              </a:ln>
              <a:effectLst/>
            </c:spPr>
          </c:dPt>
          <c:dPt>
            <c:idx val="17"/>
            <c:bubble3D val="0"/>
            <c:spPr>
              <a:solidFill>
                <a:schemeClr val="accent6">
                  <a:lumMod val="80000"/>
                  <a:lumOff val="20000"/>
                </a:schemeClr>
              </a:solidFill>
              <a:ln>
                <a:solidFill>
                  <a:schemeClr val="bg1"/>
                </a:solidFill>
              </a:ln>
              <a:effectLst/>
            </c:spPr>
          </c:dPt>
          <c:dPt>
            <c:idx val="18"/>
            <c:bubble3D val="0"/>
            <c:spPr>
              <a:solidFill>
                <a:schemeClr val="accent1">
                  <a:lumMod val="80000"/>
                </a:schemeClr>
              </a:solidFill>
              <a:ln>
                <a:solidFill>
                  <a:schemeClr val="bg1"/>
                </a:solidFill>
              </a:ln>
              <a:effectLst/>
            </c:spPr>
          </c:dPt>
          <c:dPt>
            <c:idx val="19"/>
            <c:bubble3D val="0"/>
            <c:spPr>
              <a:solidFill>
                <a:schemeClr val="accent2">
                  <a:lumMod val="80000"/>
                </a:schemeClr>
              </a:solidFill>
              <a:ln>
                <a:solidFill>
                  <a:schemeClr val="bg1"/>
                </a:solidFill>
              </a:ln>
              <a:effectLst/>
            </c:spPr>
          </c:dPt>
          <c:dPt>
            <c:idx val="20"/>
            <c:bubble3D val="0"/>
            <c:spPr>
              <a:solidFill>
                <a:schemeClr val="accent3">
                  <a:lumMod val="80000"/>
                </a:schemeClr>
              </a:solidFill>
              <a:ln>
                <a:solidFill>
                  <a:schemeClr val="bg1"/>
                </a:solidFill>
              </a:ln>
              <a:effectLst/>
            </c:spPr>
          </c:dPt>
          <c:dPt>
            <c:idx val="21"/>
            <c:bubble3D val="0"/>
            <c:spPr>
              <a:solidFill>
                <a:schemeClr val="accent4">
                  <a:lumMod val="80000"/>
                </a:schemeClr>
              </a:solidFill>
              <a:ln>
                <a:solidFill>
                  <a:schemeClr val="bg1"/>
                </a:solidFill>
              </a:ln>
              <a:effectLst/>
            </c:spPr>
          </c:dPt>
          <c:dPt>
            <c:idx val="22"/>
            <c:bubble3D val="0"/>
            <c:spPr>
              <a:solidFill>
                <a:schemeClr val="accent5">
                  <a:lumMod val="80000"/>
                </a:schemeClr>
              </a:solidFill>
              <a:ln>
                <a:solidFill>
                  <a:schemeClr val="bg1"/>
                </a:solidFill>
              </a:ln>
              <a:effectLst/>
            </c:spPr>
          </c:dPt>
          <c:dPt>
            <c:idx val="23"/>
            <c:bubble3D val="0"/>
            <c:spPr>
              <a:solidFill>
                <a:schemeClr val="accent6">
                  <a:lumMod val="80000"/>
                </a:schemeClr>
              </a:solidFill>
              <a:ln>
                <a:solidFill>
                  <a:schemeClr val="bg1"/>
                </a:solidFill>
              </a:ln>
              <a:effectLst/>
            </c:spPr>
          </c:dPt>
          <c:dPt>
            <c:idx val="24"/>
            <c:bubble3D val="0"/>
            <c:spPr>
              <a:solidFill>
                <a:schemeClr val="accent1">
                  <a:lumMod val="60000"/>
                  <a:lumOff val="40000"/>
                </a:schemeClr>
              </a:solidFill>
              <a:ln>
                <a:solidFill>
                  <a:schemeClr val="bg1"/>
                </a:solidFill>
              </a:ln>
              <a:effectLst/>
            </c:spPr>
          </c:dPt>
          <c:dPt>
            <c:idx val="25"/>
            <c:bubble3D val="0"/>
            <c:spPr>
              <a:solidFill>
                <a:schemeClr val="accent2">
                  <a:lumMod val="60000"/>
                  <a:lumOff val="40000"/>
                </a:schemeClr>
              </a:solidFill>
              <a:ln>
                <a:solidFill>
                  <a:schemeClr val="bg1"/>
                </a:solidFill>
              </a:ln>
              <a:effectLst/>
            </c:spPr>
          </c:dPt>
          <c:dLbls>
            <c:delete val="1"/>
          </c:dLbls>
          <c:cat>
            <c:strRef>
              <c:f>Sheet1!$A$2:$A$27</c:f>
              <c:strCache>
                <c:ptCount val="26"/>
                <c:pt idx="0">
                  <c:v>一般公共服务支出</c:v>
                </c:pt>
                <c:pt idx="1">
                  <c:v>外交支出</c:v>
                </c:pt>
                <c:pt idx="2">
                  <c:v>国防支出</c:v>
                </c:pt>
                <c:pt idx="3">
                  <c:v>公共安全支出</c:v>
                </c:pt>
                <c:pt idx="4">
                  <c:v>教育支出</c:v>
                </c:pt>
                <c:pt idx="5">
                  <c:v>科学技术支出</c:v>
                </c:pt>
                <c:pt idx="6">
                  <c:v>文化旅游体育与传媒支出</c:v>
                </c:pt>
                <c:pt idx="7">
                  <c:v>社会保障和就业支出</c:v>
                </c:pt>
                <c:pt idx="8">
                  <c:v>卫生健康支出</c:v>
                </c:pt>
                <c:pt idx="9">
                  <c:v>节能环保支出</c:v>
                </c:pt>
                <c:pt idx="10">
                  <c:v>城乡社区支出</c:v>
                </c:pt>
                <c:pt idx="11">
                  <c:v>农林水支出</c:v>
                </c:pt>
                <c:pt idx="12">
                  <c:v>交通运输支出</c:v>
                </c:pt>
                <c:pt idx="13">
                  <c:v>资源勘探工业信息等支出</c:v>
                </c:pt>
                <c:pt idx="14">
                  <c:v>商业服务业等支出</c:v>
                </c:pt>
                <c:pt idx="15">
                  <c:v>金融支出</c:v>
                </c:pt>
                <c:pt idx="16">
                  <c:v>援助其他地区支出</c:v>
                </c:pt>
                <c:pt idx="17">
                  <c:v>自然资源海洋气象等支出</c:v>
                </c:pt>
                <c:pt idx="18">
                  <c:v>住房保障支出</c:v>
                </c:pt>
                <c:pt idx="19">
                  <c:v>粮油物资储备支出</c:v>
                </c:pt>
                <c:pt idx="20">
                  <c:v>国有资本经营预算支出</c:v>
                </c:pt>
                <c:pt idx="21">
                  <c:v>灾害防治及应急管理支出</c:v>
                </c:pt>
                <c:pt idx="22">
                  <c:v>其他支出</c:v>
                </c:pt>
                <c:pt idx="23">
                  <c:v>债务还本支出</c:v>
                </c:pt>
                <c:pt idx="24">
                  <c:v>债务付息支出</c:v>
                </c:pt>
                <c:pt idx="25">
                  <c:v>抗疫特别国债安排的支出</c:v>
                </c:pt>
              </c:strCache>
            </c:strRef>
          </c:cat>
          <c:val>
            <c:numRef>
              <c:f>Sheet1!$B$2:$B$27</c:f>
              <c:numCache>
                <c:formatCode>General</c:formatCode>
                <c:ptCount val="26"/>
                <c:pt idx="0">
                  <c:v>0</c:v>
                </c:pt>
                <c:pt idx="1">
                  <c:v>0</c:v>
                </c:pt>
                <c:pt idx="2">
                  <c:v>0</c:v>
                </c:pt>
                <c:pt idx="3">
                  <c:v>0</c:v>
                </c:pt>
                <c:pt idx="4">
                  <c:v>0</c:v>
                </c:pt>
                <c:pt idx="5">
                  <c:v>0</c:v>
                </c:pt>
                <c:pt idx="6">
                  <c:v>0</c:v>
                </c:pt>
                <c:pt idx="7">
                  <c:v>28.63</c:v>
                </c:pt>
                <c:pt idx="8">
                  <c:v>4.17</c:v>
                </c:pt>
                <c:pt idx="9">
                  <c:v>556.39</c:v>
                </c:pt>
                <c:pt idx="10">
                  <c:v>0</c:v>
                </c:pt>
                <c:pt idx="11">
                  <c:v>0</c:v>
                </c:pt>
                <c:pt idx="12">
                  <c:v>0</c:v>
                </c:pt>
                <c:pt idx="13">
                  <c:v>0</c:v>
                </c:pt>
                <c:pt idx="14">
                  <c:v>0</c:v>
                </c:pt>
                <c:pt idx="15">
                  <c:v>0</c:v>
                </c:pt>
                <c:pt idx="16">
                  <c:v>0</c:v>
                </c:pt>
                <c:pt idx="17">
                  <c:v>0</c:v>
                </c:pt>
                <c:pt idx="18">
                  <c:v>8.7</c:v>
                </c:pt>
                <c:pt idx="19">
                  <c:v>0</c:v>
                </c:pt>
                <c:pt idx="20">
                  <c:v>0</c:v>
                </c:pt>
                <c:pt idx="21">
                  <c:v>0</c:v>
                </c:pt>
                <c:pt idx="22">
                  <c:v>0</c:v>
                </c:pt>
                <c:pt idx="23">
                  <c:v>0</c:v>
                </c:pt>
                <c:pt idx="24">
                  <c:v>0</c:v>
                </c:pt>
                <c:pt idx="2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tags>
    <s:tag s:spid="_x0000_s1026">
      <s:item s:name="KSO_DOCER_RESOURCE_TRACE_INFO" s:val="{&quot;id&quot;:&quot;&quot;,&quot;origin&quot;:0,&quot;type&quot;:&quot;wordart&quot;,&quot;user&quot;:&quot;292216292&quot;}"/>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35</Pages>
  <Words>1440</Words>
  <Characters>1712</Characters>
  <Lines>86</Lines>
  <Paragraphs>24</Paragraphs>
  <TotalTime>4</TotalTime>
  <ScaleCrop>false</ScaleCrop>
  <LinksUpToDate>false</LinksUpToDate>
  <CharactersWithSpaces>1841</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2023-08-04T15:55:00Z</dcterms:created>
  <dc:creator>王明新TIAD</dc:creator>
  <cp:lastModifiedBy>康爱芬</cp:lastModifiedBy>
  <cp:lastPrinted>2023-08-04T09:00:00Z</cp:lastPrinted>
  <dcterms:modified xsi:type="dcterms:W3CDTF">2025-09-24T16:56:13Z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B9D4097774744A28A58B1072CF95DB35_13</vt:lpwstr>
  </property>
  <property fmtid="{D5CDD505-2E9C-101B-9397-08002B2CF9AE}" pid="4" name="KSOTemplateUUID">
    <vt:lpwstr>v1.0_mb_S7ajbG3IpAnL1wSthNCxfw==</vt:lpwstr>
  </property>
  <property fmtid="{D5CDD505-2E9C-101B-9397-08002B2CF9AE}" pid="5" name="KSOTemplateDocerSaveRecord">
    <vt:lpwstr>eyJoZGlkIjoiYzE1NjAyN2YxZTY1YzUxMTA1YWJiNGE4MWIwODA2NmYifQ==</vt:lpwstr>
  </property>
</Properties>
</file>