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1">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dss/e2AAAAAoBAAAPAAAAAAAAAAEAIAAA&#10;ADgAAABkcnMvZG93bnJldi54bWxQSwECFAAUAAAACACHTuJAo1r38fYBAADOAwAADgAAAAAAAAAB&#10;ACAAAAA9AQAAZHJzL2Uyb0RvYy54bWxQSwUGAAAAAAYABgBZAQAApQ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467011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：衡水市滨湖新区生态环境局</w:t>
      </w:r>
    </w:p>
    <w:p>
      <w:pPr>
        <w:spacing w:line="600" w:lineRule="auto"/>
        <w:jc w:val="left"/>
        <w:rPr>
          <w:rFonts w:hint="eastAsia" w:ascii="楷体_GB2312" w:hAnsi="楷体_GB2312" w:eastAsia="楷体_GB2312" w:cs="楷体_GB2312"/>
          <w:color w:val="000000"/>
          <w:sz w:val="40"/>
          <w:szCs w:val="40"/>
        </w:rPr>
      </w:pPr>
    </w:p>
    <w:p>
      <w:pPr>
        <w:spacing w:line="600" w:lineRule="auto"/>
        <w:jc w:val="center"/>
        <w:rPr>
          <w:rFonts w:hint="eastAsia"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w:t>
      </w:r>
      <w:r>
        <w:rPr>
          <w:rFonts w:hint="eastAsia" w:ascii="楷体_GB2312" w:hAnsi="楷体_GB2312" w:eastAsia="楷体_GB2312" w:cs="楷体_GB2312"/>
          <w:color w:val="000000"/>
          <w:sz w:val="40"/>
          <w:szCs w:val="40"/>
          <w:lang w:eastAsia="zh-CN"/>
        </w:rPr>
        <w:t>五</w:t>
      </w:r>
      <w:r>
        <w:rPr>
          <w:rFonts w:hint="eastAsia" w:ascii="楷体_GB2312" w:hAnsi="楷体_GB2312" w:eastAsia="楷体_GB2312" w:cs="楷体_GB2312"/>
          <w:color w:val="000000"/>
          <w:sz w:val="40"/>
          <w:szCs w:val="40"/>
        </w:rPr>
        <w:t>年</w:t>
      </w:r>
      <w:r>
        <w:rPr>
          <w:rFonts w:hint="eastAsia" w:ascii="楷体_GB2312" w:hAnsi="楷体_GB2312" w:eastAsia="楷体_GB2312" w:cs="楷体_GB2312"/>
          <w:color w:val="000000"/>
          <w:sz w:val="40"/>
          <w:szCs w:val="40"/>
          <w:lang w:eastAsia="zh-CN"/>
        </w:rPr>
        <w:t>十</w:t>
      </w:r>
      <w:r>
        <w:rPr>
          <w:rFonts w:hint="eastAsia" w:ascii="楷体_GB2312" w:hAnsi="楷体_GB2312" w:eastAsia="楷体_GB2312" w:cs="楷体_GB2312"/>
          <w:color w:val="000000"/>
          <w:sz w:val="40"/>
          <w:szCs w:val="40"/>
        </w:rPr>
        <w:t>月</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衡水市滨湖新区生态环境局</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衡水市滨湖新区生态环境局</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after="160" w:line="580" w:lineRule="exact"/>
        <w:jc w:val="left"/>
        <w:textAlignment w:val="auto"/>
        <w:rPr>
          <w:rFonts w:ascii="黑体" w:hAnsi="黑体" w:eastAsia="黑体" w:cs="黑体"/>
          <w:bCs/>
          <w:sz w:val="32"/>
          <w:szCs w:val="32"/>
        </w:rPr>
      </w:pPr>
    </w:p>
    <w:p>
      <w:pPr>
        <w:keepNext w:val="0"/>
        <w:keepLines w:val="0"/>
        <w:pageBreakBefore w:val="0"/>
        <w:tabs>
          <w:tab w:val="left" w:pos="2728"/>
        </w:tabs>
        <w:kinsoku/>
        <w:wordWrap/>
        <w:overflowPunct/>
        <w:topLinePunct w:val="0"/>
        <w:autoSpaceDE/>
        <w:autoSpaceDN/>
        <w:bidi w:val="0"/>
        <w:adjustRightInd/>
        <w:snapToGrid/>
        <w:spacing w:after="160" w:line="580" w:lineRule="exact"/>
        <w:jc w:val="center"/>
        <w:textAlignment w:val="auto"/>
        <w:rPr>
          <w:rFonts w:ascii="黑体" w:hAnsi="Times New Roman" w:eastAsia="黑体" w:cs="Times New Roman"/>
          <w:sz w:val="48"/>
          <w:szCs w:val="48"/>
        </w:rPr>
      </w:pP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jc w:val="center"/>
        <w:textAlignment w:val="auto"/>
        <w:outlineLvl w:val="0"/>
        <w:rPr>
          <w:rFonts w:ascii="Times New Roman" w:eastAsia="黑体"/>
          <w:sz w:val="44"/>
          <w:szCs w:val="44"/>
        </w:rPr>
      </w:pPr>
      <w:r>
        <w:rPr>
          <w:rFonts w:ascii="Times New Roman" w:eastAsia="黑体"/>
          <w:b w:val="0"/>
          <w:sz w:val="44"/>
          <w:szCs w:val="44"/>
        </w:rPr>
        <w:t>目</w:t>
      </w:r>
      <w:r>
        <w:rPr>
          <w:rFonts w:hint="eastAsia" w:ascii="Times New Roman" w:eastAsia="黑体"/>
          <w:b w:val="0"/>
          <w:sz w:val="44"/>
          <w:szCs w:val="44"/>
          <w:lang w:val="en-US" w:eastAsia="zh-CN"/>
        </w:rPr>
        <w:t xml:space="preserve">  </w:t>
      </w:r>
      <w:r>
        <w:rPr>
          <w:rFonts w:ascii="Times New Roman" w:eastAsia="黑体"/>
          <w:b w:val="0"/>
          <w:sz w:val="44"/>
          <w:szCs w:val="44"/>
        </w:rPr>
        <w:t>录</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jc w:val="left"/>
        <w:textAlignment w:val="auto"/>
        <w:rPr>
          <w:rFonts w:ascii="Times New Roman" w:eastAsia="黑体"/>
          <w:sz w:val="32"/>
          <w:szCs w:val="32"/>
        </w:rPr>
      </w:pPr>
      <w:r>
        <w:rPr>
          <w:rFonts w:ascii="Times New Roman" w:eastAsia="黑体"/>
          <w:b w:val="0"/>
          <w:sz w:val="32"/>
          <w:szCs w:val="32"/>
        </w:rPr>
        <w:t>第一部分</w:t>
      </w:r>
      <w:r>
        <w:rPr>
          <w:rFonts w:hint="eastAsia" w:ascii="Times New Roman" w:eastAsia="黑体"/>
          <w:b w:val="0"/>
          <w:sz w:val="32"/>
          <w:szCs w:val="32"/>
          <w:lang w:val="en-US" w:eastAsia="zh-CN"/>
        </w:rPr>
        <w:t xml:space="preserve">  </w:t>
      </w:r>
      <w:r>
        <w:rPr>
          <w:rFonts w:ascii="Times New Roman" w:eastAsia="黑体"/>
          <w:b w:val="0"/>
          <w:sz w:val="32"/>
          <w:szCs w:val="32"/>
        </w:rPr>
        <w:t>单位概况</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一、单位职责</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jc w:val="left"/>
        <w:textAlignment w:val="auto"/>
        <w:outlineLvl w:val="0"/>
        <w:rPr>
          <w:rFonts w:ascii="Times New Roman" w:eastAsia="黑体"/>
          <w:sz w:val="32"/>
          <w:szCs w:val="32"/>
        </w:rPr>
      </w:pPr>
      <w:r>
        <w:rPr>
          <w:rFonts w:ascii="Times New Roman" w:eastAsia="黑体"/>
          <w:b w:val="0"/>
          <w:sz w:val="32"/>
          <w:szCs w:val="32"/>
        </w:rPr>
        <w:t>第二部分</w:t>
      </w:r>
      <w:r>
        <w:rPr>
          <w:rFonts w:hint="eastAsia" w:ascii="Times New Roman" w:eastAsia="黑体"/>
          <w:b w:val="0"/>
          <w:sz w:val="32"/>
          <w:szCs w:val="32"/>
          <w:lang w:val="en-US" w:eastAsia="zh-CN"/>
        </w:rPr>
        <w:t xml:space="preserve">  </w:t>
      </w:r>
      <w:r>
        <w:rPr>
          <w:rFonts w:ascii="Times New Roman" w:eastAsia="黑体"/>
          <w:b w:val="0"/>
          <w:sz w:val="32"/>
          <w:szCs w:val="32"/>
        </w:rPr>
        <w:t>2024年度部门决算报表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二、收入决算表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三、支出决算表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八、国有资本经营预算财政拨款支出决算表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九、财政拨款“三公”经费支出决算表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jc w:val="left"/>
        <w:textAlignment w:val="auto"/>
        <w:rPr>
          <w:rFonts w:ascii="Times New Roman" w:eastAsia="黑体"/>
          <w:sz w:val="32"/>
          <w:szCs w:val="32"/>
        </w:rPr>
      </w:pPr>
      <w:r>
        <w:rPr>
          <w:rFonts w:ascii="Times New Roman" w:eastAsia="黑体"/>
          <w:b w:val="0"/>
          <w:sz w:val="32"/>
          <w:szCs w:val="32"/>
        </w:rPr>
        <w:t>第三部分</w:t>
      </w:r>
      <w:r>
        <w:rPr>
          <w:rFonts w:hint="eastAsia" w:ascii="Times New Roman" w:eastAsia="黑体"/>
          <w:b w:val="0"/>
          <w:sz w:val="32"/>
          <w:szCs w:val="32"/>
          <w:lang w:val="en-US" w:eastAsia="zh-CN"/>
        </w:rPr>
        <w:t xml:space="preserve">  </w:t>
      </w:r>
      <w:r>
        <w:rPr>
          <w:rFonts w:ascii="Times New Roman" w:eastAsia="黑体"/>
          <w:b w:val="0"/>
          <w:sz w:val="32"/>
          <w:szCs w:val="32"/>
        </w:rPr>
        <w:t>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五、财政拨款“三公”经费支出决算情况说明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六、机关运行经费支出说明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七、政府采购支出说明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八、国有资产占用情况说明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九、关于2024年度绩效评价情况的说明</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十、其他需要说明的情况</w:t>
      </w:r>
    </w:p>
    <w:p>
      <w:pPr>
        <w:keepNext w:val="0"/>
        <w:keepLines w:val="0"/>
        <w:pageBreakBefore w:val="0"/>
        <w:widowControl/>
        <w:kinsoku/>
        <w:wordWrap/>
        <w:overflowPunct/>
        <w:topLinePunct w:val="0"/>
        <w:autoSpaceDE/>
        <w:autoSpaceDN/>
        <w:bidi w:val="0"/>
        <w:adjustRightInd/>
        <w:snapToGrid/>
        <w:spacing w:before="0" w:beforeLines="0" w:beforeAutospacing="0" w:after="160" w:afterAutospacing="0" w:line="580" w:lineRule="exact"/>
        <w:jc w:val="left"/>
        <w:textAlignment w:val="auto"/>
        <w:rPr>
          <w:rFonts w:ascii="Times New Roman" w:eastAsia="黑体"/>
          <w:sz w:val="32"/>
          <w:szCs w:val="32"/>
        </w:rPr>
      </w:pPr>
      <w:r>
        <w:rPr>
          <w:rFonts w:ascii="Times New Roman" w:eastAsia="黑体"/>
          <w:b w:val="0"/>
          <w:sz w:val="32"/>
          <w:szCs w:val="32"/>
        </w:rPr>
        <w:t>第四部分</w:t>
      </w:r>
      <w:r>
        <w:rPr>
          <w:rFonts w:hint="eastAsia" w:ascii="Times New Roman" w:eastAsia="黑体"/>
          <w:b w:val="0"/>
          <w:sz w:val="32"/>
          <w:szCs w:val="32"/>
          <w:lang w:val="en-US" w:eastAsia="zh-CN"/>
        </w:rPr>
        <w:t xml:space="preserve">  </w:t>
      </w:r>
      <w:r>
        <w:rPr>
          <w:rFonts w:ascii="Times New Roman" w:eastAsia="黑体"/>
          <w:b w:val="0"/>
          <w:sz w:val="32"/>
          <w:szCs w:val="32"/>
        </w:rPr>
        <w:t>名词解释</w:t>
      </w:r>
    </w:p>
    <w:p>
      <w:pPr>
        <w:keepNext w:val="0"/>
        <w:keepLines w:val="0"/>
        <w:pageBreakBefore w:val="0"/>
        <w:widowControl/>
        <w:kinsoku/>
        <w:wordWrap/>
        <w:overflowPunct/>
        <w:topLinePunct w:val="0"/>
        <w:autoSpaceDE/>
        <w:autoSpaceDN/>
        <w:bidi w:val="0"/>
        <w:adjustRightInd/>
        <w:snapToGrid/>
        <w:spacing w:after="160" w:line="580" w:lineRule="exact"/>
        <w:textAlignment w:val="auto"/>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sz w:val="72"/>
          <w:szCs w:val="72"/>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sz w:val="72"/>
          <w:szCs w:val="72"/>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sz w:val="72"/>
          <w:szCs w:val="72"/>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sz w:val="72"/>
          <w:szCs w:val="72"/>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sz w:val="72"/>
          <w:szCs w:val="72"/>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sz w:val="72"/>
          <w:szCs w:val="72"/>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i w:val="0"/>
          <w:iCs w:val="0"/>
          <w:caps w:val="0"/>
          <w:color w:val="000000"/>
          <w:spacing w:val="0"/>
          <w:sz w:val="18"/>
          <w:szCs w:val="18"/>
          <w:highlight w:val="none"/>
        </w:rPr>
      </w:pPr>
      <w:r>
        <w:rPr>
          <w:rFonts w:hint="eastAsia" w:ascii="黑体" w:hAnsi="宋体" w:eastAsia="黑体" w:cs="黑体"/>
          <w:i w:val="0"/>
          <w:iCs w:val="0"/>
          <w:caps w:val="0"/>
          <w:color w:val="000000"/>
          <w:spacing w:val="0"/>
          <w:sz w:val="72"/>
          <w:szCs w:val="72"/>
          <w:highlight w:val="none"/>
          <w:shd w:val="clear" w:fill="FFFFFF"/>
        </w:rPr>
        <w:t xml:space="preserve">第一部分  </w:t>
      </w:r>
      <w:r>
        <w:rPr>
          <w:rFonts w:hint="eastAsia" w:ascii="黑体" w:hAnsi="宋体" w:eastAsia="黑体" w:cs="黑体"/>
          <w:i w:val="0"/>
          <w:iCs w:val="0"/>
          <w:caps w:val="0"/>
          <w:color w:val="000000"/>
          <w:spacing w:val="0"/>
          <w:sz w:val="72"/>
          <w:szCs w:val="72"/>
          <w:highlight w:val="none"/>
          <w:shd w:val="clear" w:fill="FFFFFF"/>
          <w:lang w:eastAsia="zh-CN"/>
        </w:rPr>
        <w:t>单位</w:t>
      </w:r>
      <w:r>
        <w:rPr>
          <w:rFonts w:hint="eastAsia" w:ascii="黑体" w:hAnsi="宋体" w:eastAsia="黑体" w:cs="黑体"/>
          <w:i w:val="0"/>
          <w:iCs w:val="0"/>
          <w:caps w:val="0"/>
          <w:color w:val="000000"/>
          <w:spacing w:val="0"/>
          <w:sz w:val="72"/>
          <w:szCs w:val="72"/>
          <w:highlight w:val="none"/>
          <w:shd w:val="clear" w:fill="FFFFFF"/>
        </w:rPr>
        <w:t>概况</w:t>
      </w:r>
    </w:p>
    <w:p>
      <w:pPr>
        <w:widowControl/>
        <w:spacing w:before="0" w:beforeLines="0" w:beforeAutospacing="0" w:after="0" w:afterLines="0" w:afterAutospacing="0" w:line="360" w:lineRule="auto"/>
        <w:jc w:val="center"/>
        <w:outlineLvl w:val="0"/>
        <w:rPr>
          <w:rFonts w:ascii="Times New Roman" w:eastAsia="黑体"/>
          <w:b w:val="0"/>
          <w:sz w:val="44"/>
          <w:szCs w:val="44"/>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rPr>
      </w:pPr>
      <w:r>
        <w:rPr>
          <w:rFonts w:hint="eastAsia" w:ascii="仿宋" w:hAnsi="仿宋" w:eastAsia="仿宋" w:cs="仿宋"/>
        </w:rPr>
        <w:t>1、统一管理滨湖新区辖区内的环境保护工作，拟定滨湖新</w:t>
      </w:r>
      <w:r>
        <w:rPr>
          <w:rFonts w:hint="eastAsia" w:ascii="仿宋" w:hAnsi="仿宋" w:eastAsia="仿宋" w:cs="仿宋"/>
          <w:spacing w:val="-8"/>
        </w:rPr>
        <w:t>区环境保护规划和计划，监督检查国家和地方环境保护方针、政</w:t>
      </w:r>
      <w:r>
        <w:rPr>
          <w:rFonts w:hint="eastAsia" w:ascii="仿宋" w:hAnsi="仿宋" w:eastAsia="仿宋" w:cs="仿宋"/>
          <w:spacing w:val="-18"/>
        </w:rPr>
        <w:t xml:space="preserve">策、法律、法规、标准的贯彻实施；组织推行环境保护各项制度， </w:t>
      </w:r>
      <w:r>
        <w:rPr>
          <w:rFonts w:hint="eastAsia" w:ascii="仿宋" w:hAnsi="仿宋" w:eastAsia="仿宋" w:cs="仿宋"/>
        </w:rPr>
        <w:t>经批准后监督执行。</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rPr>
      </w:pPr>
      <w:r>
        <w:rPr>
          <w:rFonts w:hint="eastAsia" w:ascii="仿宋" w:hAnsi="仿宋" w:eastAsia="仿宋" w:cs="仿宋"/>
        </w:rPr>
        <w:t>2、参与制定滨湖新区经济和社会中长期规划和年度计划、国土开发整治规划和区域开发规划、产业发展规划及资源节约和综合利用规划；审核总体规划中的环境保护内容。</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rPr>
      </w:pPr>
      <w:r>
        <w:rPr>
          <w:rFonts w:hint="eastAsia" w:ascii="仿宋" w:hAnsi="仿宋" w:eastAsia="仿宋" w:cs="仿宋"/>
        </w:rPr>
        <w:t>3、参与制定地方污染物排放总量控制指标和主要污染物控制指标</w:t>
      </w:r>
      <w:r>
        <w:rPr>
          <w:rFonts w:hint="eastAsia" w:ascii="仿宋" w:hAnsi="仿宋" w:eastAsia="仿宋" w:cs="仿宋"/>
          <w:lang w:eastAsia="zh-CN"/>
        </w:rPr>
        <w:t>，</w:t>
      </w:r>
      <w:r>
        <w:rPr>
          <w:rFonts w:hint="eastAsia" w:ascii="仿宋" w:hAnsi="仿宋" w:eastAsia="仿宋" w:cs="仿宋"/>
        </w:rPr>
        <w:t>负责滨湖新区环境监察工作。</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、组织滨湖新区环境监测工作，掌握环境质量状况和发展趋势，提出改善和保护环境的对策和措施。</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、深入开展大气污染综合治理，推进水污染防治，积极做好土壤污染防治工作。</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、归口管理监督滨湖新区内的自然保护工作，监督检查企业污染防治工作。</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lang w:eastAsia="zh-CN"/>
        </w:rPr>
      </w:pPr>
      <w:r>
        <w:rPr>
          <w:rFonts w:hint="eastAsia" w:ascii="仿宋" w:hAnsi="仿宋" w:eastAsia="仿宋" w:cs="仿宋"/>
          <w:lang w:val="en-US" w:eastAsia="zh-CN"/>
        </w:rPr>
        <w:t>7</w:t>
      </w:r>
      <w:r>
        <w:rPr>
          <w:rFonts w:hint="eastAsia" w:ascii="仿宋" w:hAnsi="仿宋" w:eastAsia="仿宋" w:cs="仿宋"/>
          <w:lang w:val="en-US"/>
        </w:rPr>
        <w:t>、</w:t>
      </w:r>
      <w:r>
        <w:rPr>
          <w:rFonts w:hint="eastAsia" w:ascii="仿宋" w:hAnsi="仿宋" w:eastAsia="仿宋" w:cs="仿宋"/>
        </w:rPr>
        <w:t>组织协调滨湖新区环境宣传、教育工作，组织管理环保科技和产业工作</w:t>
      </w:r>
      <w:r>
        <w:rPr>
          <w:rFonts w:hint="eastAsia" w:ascii="仿宋" w:hAnsi="仿宋" w:eastAsia="仿宋" w:cs="仿宋"/>
          <w:lang w:eastAsia="zh-CN"/>
        </w:rPr>
        <w:t>。</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hint="eastAsia" w:ascii="仿宋" w:hAnsi="仿宋" w:eastAsia="仿宋" w:cs="仿宋"/>
          <w:lang w:val="en-US"/>
        </w:rPr>
      </w:pPr>
      <w:r>
        <w:rPr>
          <w:rFonts w:hint="eastAsia" w:ascii="仿宋" w:hAnsi="仿宋" w:eastAsia="仿宋" w:cs="仿宋"/>
          <w:lang w:val="en-US" w:eastAsia="zh-CN"/>
        </w:rPr>
        <w:t>8</w:t>
      </w:r>
      <w:r>
        <w:rPr>
          <w:rFonts w:hint="eastAsia" w:ascii="仿宋" w:hAnsi="仿宋" w:eastAsia="仿宋" w:cs="仿宋"/>
          <w:lang w:val="en-US"/>
        </w:rPr>
        <w:t>、归口管理滨湖新区环境保护方面的合作与交流。</w:t>
      </w:r>
    </w:p>
    <w:p>
      <w:pPr>
        <w:pStyle w:val="7"/>
        <w:keepNext w:val="0"/>
        <w:keepLines w:val="0"/>
        <w:pageBreakBefore w:val="0"/>
        <w:widowControl/>
        <w:kinsoku/>
        <w:wordWrap/>
        <w:overflowPunct/>
        <w:topLinePunct w:val="0"/>
        <w:autoSpaceDE w:val="0"/>
        <w:autoSpaceDN w:val="0"/>
        <w:bidi w:val="0"/>
        <w:adjustRightInd/>
        <w:snapToGrid/>
        <w:spacing w:line="580" w:lineRule="exact"/>
        <w:ind w:right="0" w:firstLine="640" w:firstLineChars="200"/>
        <w:jc w:val="both"/>
        <w:textAlignment w:val="auto"/>
        <w:rPr>
          <w:rFonts w:ascii="Times New Roman" w:eastAsia="仿宋_GB2312"/>
          <w:sz w:val="32"/>
          <w:szCs w:val="32"/>
        </w:rPr>
      </w:pPr>
      <w:r>
        <w:rPr>
          <w:rFonts w:hint="eastAsia" w:ascii="仿宋" w:hAnsi="仿宋" w:eastAsia="仿宋" w:cs="仿宋"/>
          <w:lang w:val="en-US" w:eastAsia="zh-CN"/>
        </w:rPr>
        <w:t>9</w:t>
      </w:r>
      <w:r>
        <w:rPr>
          <w:rFonts w:hint="eastAsia" w:ascii="仿宋" w:hAnsi="仿宋" w:eastAsia="仿宋" w:cs="仿宋"/>
          <w:lang w:val="en-US"/>
        </w:rPr>
        <w:t>、承办市</w:t>
      </w:r>
      <w:r>
        <w:rPr>
          <w:rFonts w:hint="eastAsia" w:ascii="仿宋" w:hAnsi="仿宋" w:eastAsia="仿宋" w:cs="仿宋"/>
          <w:lang w:val="en-US" w:eastAsia="zh-CN"/>
        </w:rPr>
        <w:t>生态环境</w:t>
      </w:r>
      <w:r>
        <w:rPr>
          <w:rFonts w:hint="eastAsia" w:ascii="仿宋" w:hAnsi="仿宋" w:eastAsia="仿宋" w:cs="仿宋"/>
          <w:lang w:val="en-US"/>
        </w:rPr>
        <w:t>局和滨湖新区党工委、管委会交办的其他事项。</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2"/>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vAlign w:val="center"/>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vAlign w:val="center"/>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衡水市滨湖新区生态环境局</w:t>
            </w:r>
          </w:p>
        </w:tc>
        <w:tc>
          <w:tcPr>
            <w:tcW w:w="2445" w:type="dxa"/>
            <w:vAlign w:val="center"/>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vAlign w:val="center"/>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widowControl/>
        <w:spacing w:after="160" w:line="580" w:lineRule="exact"/>
        <w:ind w:firstLine="640" w:firstLineChars="200"/>
        <w:rPr>
          <w:rFonts w:hint="eastAsia" w:ascii="Times New Roman" w:hAnsi="Times New Roman" w:eastAsia="黑体" w:cs="Times New Roman"/>
          <w:sz w:val="32"/>
          <w:szCs w:val="32"/>
          <w:highlight w:val="yellow"/>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eastAsia="Arial" w:cs="Arial"/>
          <w:i w:val="0"/>
          <w:iCs w:val="0"/>
          <w:caps w:val="0"/>
          <w:color w:val="000000"/>
          <w:spacing w:val="0"/>
          <w:kern w:val="0"/>
          <w:sz w:val="18"/>
          <w:szCs w:val="18"/>
          <w:highlight w:val="none"/>
          <w:shd w:val="clear" w:fill="FFFFFF"/>
          <w:lang w:val="en-US" w:eastAsia="zh-CN" w:bidi="ar"/>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eastAsia="Arial" w:cs="Arial"/>
          <w:i w:val="0"/>
          <w:iCs w:val="0"/>
          <w:caps w:val="0"/>
          <w:color w:val="000000"/>
          <w:spacing w:val="0"/>
          <w:kern w:val="0"/>
          <w:sz w:val="18"/>
          <w:szCs w:val="18"/>
          <w:highlight w:val="none"/>
          <w:shd w:val="clear" w:fill="FFFFFF"/>
          <w:lang w:val="en-US" w:eastAsia="zh-CN" w:bidi="ar"/>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eastAsia="Arial" w:cs="Arial"/>
          <w:i w:val="0"/>
          <w:iCs w:val="0"/>
          <w:caps w:val="0"/>
          <w:color w:val="000000"/>
          <w:spacing w:val="0"/>
          <w:kern w:val="0"/>
          <w:sz w:val="18"/>
          <w:szCs w:val="18"/>
          <w:highlight w:val="none"/>
          <w:shd w:val="clear" w:fill="FFFFFF"/>
          <w:lang w:val="en-US" w:eastAsia="zh-CN" w:bidi="ar"/>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eastAsia="Arial" w:cs="Arial"/>
          <w:i w:val="0"/>
          <w:iCs w:val="0"/>
          <w:caps w:val="0"/>
          <w:color w:val="000000"/>
          <w:spacing w:val="0"/>
          <w:kern w:val="0"/>
          <w:sz w:val="18"/>
          <w:szCs w:val="18"/>
          <w:highlight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eastAsia="Arial" w:cs="Arial"/>
          <w:highlight w:val="none"/>
        </w:rPr>
      </w:pPr>
      <w:r>
        <w:rPr>
          <w:rFonts w:hint="default" w:ascii="Arial" w:hAnsi="Arial" w:eastAsia="Arial" w:cs="Arial"/>
          <w:i w:val="0"/>
          <w:iCs w:val="0"/>
          <w:caps w:val="0"/>
          <w:color w:val="000000"/>
          <w:spacing w:val="0"/>
          <w:kern w:val="0"/>
          <w:sz w:val="18"/>
          <w:szCs w:val="18"/>
          <w:highlight w:val="none"/>
          <w:shd w:val="clear" w:fill="FFFFFF"/>
          <w:lang w:val="en-US" w:eastAsia="zh-CN" w:bidi="ar"/>
        </w:rPr>
        <w:t> </w:t>
      </w: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default" w:ascii="Arial" w:hAnsi="Arial" w:eastAsia="Arial" w:cs="Arial"/>
          <w:highlight w:val="none"/>
        </w:rPr>
      </w:pPr>
      <w:r>
        <w:rPr>
          <w:rFonts w:hint="eastAsia" w:ascii="黑体" w:hAnsi="宋体" w:eastAsia="黑体" w:cs="黑体"/>
          <w:i w:val="0"/>
          <w:iCs w:val="0"/>
          <w:caps w:val="0"/>
          <w:color w:val="000000"/>
          <w:spacing w:val="0"/>
          <w:sz w:val="72"/>
          <w:szCs w:val="72"/>
          <w:highlight w:val="none"/>
          <w:shd w:val="clear" w:fill="FFFFFF"/>
        </w:rPr>
        <w:t>第二部分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i w:val="0"/>
          <w:iCs w:val="0"/>
          <w:caps w:val="0"/>
          <w:color w:val="FF0000"/>
          <w:spacing w:val="0"/>
          <w:sz w:val="33"/>
          <w:szCs w:val="33"/>
          <w:highlight w:val="none"/>
          <w:shd w:val="clear" w:fill="FFFFFF"/>
        </w:rPr>
        <w:sectPr>
          <w:headerReference r:id="rId9"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宋体" w:eastAsia="黑体" w:cs="黑体"/>
          <w:i w:val="0"/>
          <w:iCs w:val="0"/>
          <w:caps w:val="0"/>
          <w:color w:val="000000"/>
          <w:spacing w:val="0"/>
          <w:sz w:val="72"/>
          <w:szCs w:val="72"/>
          <w:highlight w:val="none"/>
          <w:shd w:val="clear" w:fill="FFFFFF"/>
          <w:lang w:val="en-US" w:eastAsia="zh-CN"/>
        </w:rPr>
        <w:t>2024</w:t>
      </w:r>
      <w:r>
        <w:rPr>
          <w:rFonts w:hint="eastAsia" w:ascii="黑体" w:hAnsi="宋体" w:eastAsia="黑体" w:cs="黑体"/>
          <w:i w:val="0"/>
          <w:iCs w:val="0"/>
          <w:caps w:val="0"/>
          <w:color w:val="000000"/>
          <w:spacing w:val="0"/>
          <w:sz w:val="72"/>
          <w:szCs w:val="72"/>
          <w:highlight w:val="none"/>
          <w:shd w:val="clear" w:fill="FFFFFF"/>
        </w:rPr>
        <w:t>年</w:t>
      </w:r>
      <w:r>
        <w:rPr>
          <w:rFonts w:hint="eastAsia" w:ascii="黑体" w:hAnsi="宋体" w:eastAsia="黑体" w:cs="黑体"/>
          <w:i w:val="0"/>
          <w:iCs w:val="0"/>
          <w:caps w:val="0"/>
          <w:color w:val="000000"/>
          <w:spacing w:val="0"/>
          <w:sz w:val="72"/>
          <w:szCs w:val="72"/>
          <w:highlight w:val="none"/>
          <w:shd w:val="clear" w:fill="FFFFFF"/>
          <w:lang w:val="en-US" w:eastAsia="zh-CN"/>
        </w:rPr>
        <w:t>度</w:t>
      </w:r>
      <w:r>
        <w:rPr>
          <w:rFonts w:hint="eastAsia" w:ascii="黑体" w:hAnsi="宋体" w:eastAsia="黑体" w:cs="黑体"/>
          <w:i w:val="0"/>
          <w:iCs w:val="0"/>
          <w:caps w:val="0"/>
          <w:color w:val="000000"/>
          <w:spacing w:val="0"/>
          <w:sz w:val="72"/>
          <w:szCs w:val="72"/>
          <w:highlight w:val="none"/>
          <w:shd w:val="clear" w:fill="FFFFFF"/>
        </w:rPr>
        <w:t>部门决算报表</w:t>
      </w:r>
    </w:p>
    <w:tbl>
      <w:tblPr>
        <w:tblStyle w:val="12"/>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（单位）：衡水市滨湖新区生态环境局</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（单位）：衡水市滨湖新区生态环境局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（单位）：衡水市滨湖新区生态环境局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（单位）：衡水市滨湖新区生态环境局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16.21</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4"/>
        <w:gridCol w:w="1816"/>
        <w:gridCol w:w="875"/>
        <w:gridCol w:w="1047"/>
        <w:gridCol w:w="1107"/>
        <w:gridCol w:w="392"/>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编制（单位）：衡水市滨湖新区生态环境局</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（单位）：衡水市滨湖新区生态环境局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本单位本年度无相关支出情况，按要求以空表列示。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（单位）：衡水市滨湖新区生态环境局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注：本表反映部门本年度政府性基金预算财政拨款收入、支出及结转和结余情况。本单位本年度无相关支出情况，按要求以空表列示。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（单位）：衡水市滨湖新区生态环境局</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注：本表反映部门本年度国有资本经营预算财政拨款支出情况。本单位本年度无相关支出情况，按要求以空表列示。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（单位）：衡水市滨湖新区生态环境局</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本单位本年度无相关支出情况，按要求以空表列示。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highlight w:val="none"/>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i w:val="0"/>
          <w:iCs w:val="0"/>
          <w:caps w:val="0"/>
          <w:color w:val="000000"/>
          <w:spacing w:val="0"/>
          <w:sz w:val="18"/>
          <w:szCs w:val="18"/>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i w:val="0"/>
          <w:iCs w:val="0"/>
          <w:caps w:val="0"/>
          <w:color w:val="000000"/>
          <w:spacing w:val="0"/>
          <w:sz w:val="18"/>
          <w:szCs w:val="18"/>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default" w:ascii="Arial" w:hAnsi="Arial" w:eastAsia="Arial" w:cs="Arial"/>
          <w:highlight w:val="none"/>
        </w:rPr>
      </w:pPr>
      <w:r>
        <w:rPr>
          <w:rFonts w:hint="eastAsia" w:ascii="黑体" w:hAnsi="宋体" w:eastAsia="黑体" w:cs="黑体"/>
          <w:i w:val="0"/>
          <w:iCs w:val="0"/>
          <w:caps w:val="0"/>
          <w:color w:val="000000"/>
          <w:spacing w:val="0"/>
          <w:sz w:val="72"/>
          <w:szCs w:val="72"/>
          <w:highlight w:val="none"/>
          <w:shd w:val="clear" w:fill="FFFFFF"/>
        </w:rPr>
        <w:t>第三部分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center"/>
        <w:outlineLvl w:val="0"/>
        <w:rPr>
          <w:rFonts w:ascii="Times New Roman" w:eastAsia="黑体"/>
          <w:b w:val="0"/>
          <w:sz w:val="44"/>
          <w:szCs w:val="44"/>
        </w:rPr>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pPr>
      <w:r>
        <w:rPr>
          <w:rFonts w:hint="eastAsia" w:ascii="黑体" w:hAnsi="宋体" w:eastAsia="黑体" w:cs="黑体"/>
          <w:i w:val="0"/>
          <w:iCs w:val="0"/>
          <w:caps w:val="0"/>
          <w:color w:val="000000"/>
          <w:spacing w:val="-20"/>
          <w:sz w:val="72"/>
          <w:szCs w:val="72"/>
          <w:highlight w:val="none"/>
          <w:shd w:val="clear" w:fill="FFFFFF"/>
        </w:rPr>
        <w:t>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jc w:val="left"/>
        <w:textAlignment w:val="auto"/>
        <w:outlineLvl w:val="1"/>
        <w:rPr>
          <w:rFonts w:ascii="Times New Roman" w:eastAsia="黑体"/>
          <w:sz w:val="32"/>
          <w:szCs w:val="32"/>
        </w:rPr>
      </w:pPr>
      <w:r>
        <w:rPr>
          <w:rFonts w:ascii="Times New Roman" w:eastAsia="黑体"/>
          <w:b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本单位2024年度收、支总计（含结转和结余）均为16.21万元。与2023年度决算相比，收支各增加2.21万元，增长15.8%，主要原因是</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年度帮扶工作增加</w:t>
      </w:r>
      <w:r>
        <w:rPr>
          <w:rFonts w:ascii="Times New Roman" w:eastAsia="仿宋_GB2312"/>
          <w:b w:val="0"/>
          <w:sz w:val="32"/>
          <w:szCs w:val="32"/>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jc w:val="left"/>
        <w:textAlignment w:val="auto"/>
        <w:outlineLvl w:val="1"/>
        <w:rPr>
          <w:rFonts w:ascii="Times New Roman" w:eastAsia="黑体"/>
          <w:sz w:val="32"/>
          <w:szCs w:val="32"/>
        </w:rPr>
      </w:pPr>
      <w:r>
        <w:rPr>
          <w:rFonts w:ascii="Times New Roman" w:eastAsia="黑体"/>
          <w:b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本单位2024年度本年收入合计16.21万元，其中：财政拨款收入16.21万元，占100%；上级补助收入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%；事业收入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%；经营收入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%；附属单位上缴收入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%；其他收入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jc w:val="left"/>
        <w:textAlignment w:val="auto"/>
        <w:outlineLvl w:val="1"/>
        <w:rPr>
          <w:rFonts w:ascii="Times New Roman" w:eastAsia="黑体"/>
          <w:sz w:val="32"/>
          <w:szCs w:val="32"/>
        </w:rPr>
      </w:pPr>
      <w:r>
        <w:rPr>
          <w:rFonts w:ascii="Times New Roman" w:eastAsia="黑体"/>
          <w:b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本单位2024年度本年支出合计16.21万元，其中：基本支出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%；项目支出16.21万元，占100%；上缴上级支出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%；经营支出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%；对附属单位补助支出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ascii="Times New Roman" w:eastAsia="黑体"/>
          <w:sz w:val="32"/>
          <w:szCs w:val="32"/>
        </w:rPr>
      </w:pPr>
      <w:r>
        <w:rPr>
          <w:rFonts w:ascii="Times New Roman" w:eastAsia="黑体"/>
          <w:b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本单位2024年度财政拨款收、支总计（含结转和结余）均为16.21万元。与2023年度相比，财政拨款收支各增加2.21万元，增长15.8%，主要原因是</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年度帮扶工作增加，所以本年收入增加</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本单位2024年度财政拨款本年收入16.21万元,比上年增加2.21万元，增长15.8%，主要原因是</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年度帮扶工作增加</w:t>
      </w:r>
      <w:r>
        <w:rPr>
          <w:rFonts w:ascii="Times New Roman" w:eastAsia="仿宋_GB2312"/>
          <w:b w:val="0"/>
          <w:sz w:val="32"/>
          <w:szCs w:val="32"/>
        </w:rPr>
        <w:t>；本年支出16.21万元，比上年增加2.21万元，增长15.8%，主要原因是</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年度帮扶工作增加，所以本年支出增加</w:t>
      </w:r>
      <w:r>
        <w:rPr>
          <w:rFonts w:ascii="Times New Roman" w:eastAsia="仿宋_GB2312"/>
          <w:b w:val="0"/>
          <w:sz w:val="32"/>
          <w:szCs w:val="32"/>
        </w:rPr>
        <w:t>。具体情况如下：</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ascii="Times New Roman" w:eastAsia="仿宋_GB2312"/>
          <w:sz w:val="32"/>
          <w:szCs w:val="32"/>
        </w:rPr>
      </w:pPr>
      <w:r>
        <w:rPr>
          <w:rFonts w:ascii="Times New Roman" w:eastAsia="仿宋_GB2312"/>
          <w:b w:val="0"/>
          <w:sz w:val="32"/>
          <w:szCs w:val="32"/>
        </w:rPr>
        <w:t>1.一般公共预算财政拨款本年收入16.21万元,比上年增加2.21万元，增长15.8%，主要原因是</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年度帮扶工作增加，所以本年收入增加</w:t>
      </w:r>
      <w:r>
        <w:rPr>
          <w:rFonts w:ascii="Times New Roman" w:eastAsia="仿宋_GB2312"/>
          <w:b w:val="0"/>
          <w:sz w:val="32"/>
          <w:szCs w:val="32"/>
        </w:rPr>
        <w:t>；本年支出16.21万元，比上年增加2.21万元，增长15.8%，主要原因是</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年度帮扶工作增加，所以本年支出增加</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w:t>
      </w:r>
      <w:r>
        <w:rPr>
          <w:rFonts w:hint="eastAsia" w:ascii="仿宋" w:hAnsi="仿宋" w:eastAsia="仿宋" w:cs="仿宋"/>
          <w:kern w:val="2"/>
          <w:sz w:val="32"/>
          <w:szCs w:val="32"/>
          <w:lang w:val="zh-CN" w:eastAsia="zh-CN"/>
        </w:rPr>
        <w:t>与上年持平</w:t>
      </w:r>
      <w:r>
        <w:rPr>
          <w:rFonts w:ascii="Times New Roman" w:eastAsia="仿宋_GB2312"/>
          <w:b w:val="0"/>
          <w:sz w:val="32"/>
          <w:szCs w:val="32"/>
        </w:rPr>
        <w:t>，主要原因是</w:t>
      </w:r>
      <w:r>
        <w:rPr>
          <w:rFonts w:hint="eastAsia" w:ascii="仿宋" w:hAnsi="仿宋" w:eastAsia="仿宋" w:cs="仿宋"/>
          <w:kern w:val="2"/>
          <w:sz w:val="32"/>
          <w:szCs w:val="32"/>
          <w:rtl w:val="0"/>
          <w:lang w:val="zh-CN" w:eastAsia="zh-CN"/>
        </w:rPr>
        <w:t>无政府性基金</w:t>
      </w:r>
      <w:r>
        <w:rPr>
          <w:rFonts w:hint="eastAsia" w:ascii="仿宋" w:hAnsi="仿宋" w:eastAsia="仿宋" w:cs="仿宋"/>
          <w:kern w:val="2"/>
          <w:sz w:val="32"/>
          <w:szCs w:val="32"/>
          <w:rtl w:val="0"/>
          <w:lang w:val="en-US" w:eastAsia="zh-CN"/>
        </w:rPr>
        <w:t>预算收入</w:t>
      </w:r>
      <w:r>
        <w:rPr>
          <w:rFonts w:ascii="Times New Roman" w:eastAsia="仿宋_GB2312"/>
          <w:b w:val="0"/>
          <w:sz w:val="32"/>
          <w:szCs w:val="32"/>
        </w:rPr>
        <w:t>；本年支出</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w:t>
      </w:r>
      <w:r>
        <w:rPr>
          <w:rFonts w:hint="eastAsia" w:ascii="仿宋" w:hAnsi="仿宋" w:eastAsia="仿宋" w:cs="仿宋"/>
          <w:kern w:val="2"/>
          <w:sz w:val="32"/>
          <w:szCs w:val="32"/>
          <w:lang w:val="zh-CN" w:eastAsia="zh-CN"/>
        </w:rPr>
        <w:t>与上年持平</w:t>
      </w:r>
      <w:r>
        <w:rPr>
          <w:rFonts w:ascii="Times New Roman" w:eastAsia="仿宋_GB2312"/>
          <w:b w:val="0"/>
          <w:sz w:val="32"/>
          <w:szCs w:val="32"/>
        </w:rPr>
        <w:t>，主要原因是</w:t>
      </w:r>
      <w:r>
        <w:rPr>
          <w:rFonts w:hint="eastAsia" w:ascii="仿宋" w:hAnsi="仿宋" w:eastAsia="仿宋" w:cs="仿宋"/>
          <w:kern w:val="2"/>
          <w:sz w:val="32"/>
          <w:szCs w:val="32"/>
          <w:rtl w:val="0"/>
          <w:lang w:val="zh-CN" w:eastAsia="zh-CN"/>
        </w:rPr>
        <w:t>无政府性基金</w:t>
      </w:r>
      <w:r>
        <w:rPr>
          <w:rFonts w:hint="eastAsia" w:ascii="仿宋" w:hAnsi="仿宋" w:eastAsia="仿宋" w:cs="仿宋"/>
          <w:kern w:val="2"/>
          <w:sz w:val="32"/>
          <w:szCs w:val="32"/>
          <w:rtl w:val="0"/>
          <w:lang w:val="en-US" w:eastAsia="zh-CN"/>
        </w:rPr>
        <w:t>预算支出</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w:t>
      </w:r>
      <w:r>
        <w:rPr>
          <w:rFonts w:hint="eastAsia" w:ascii="仿宋" w:hAnsi="仿宋" w:eastAsia="仿宋" w:cs="仿宋"/>
          <w:kern w:val="2"/>
          <w:sz w:val="32"/>
          <w:szCs w:val="32"/>
          <w:lang w:val="zh-CN" w:eastAsia="zh-CN"/>
        </w:rPr>
        <w:t>与上年持平</w:t>
      </w:r>
      <w:r>
        <w:rPr>
          <w:rFonts w:ascii="Times New Roman" w:eastAsia="仿宋_GB2312"/>
          <w:b w:val="0"/>
          <w:sz w:val="32"/>
          <w:szCs w:val="32"/>
        </w:rPr>
        <w:t>，主要原因是</w:t>
      </w:r>
      <w:r>
        <w:rPr>
          <w:rFonts w:hint="eastAsia" w:ascii="Times New Roman" w:eastAsia="仿宋_GB2312"/>
          <w:b w:val="0"/>
          <w:sz w:val="32"/>
          <w:szCs w:val="32"/>
        </w:rPr>
        <w:t>无国有资本经营预算收入</w:t>
      </w:r>
      <w:r>
        <w:rPr>
          <w:rFonts w:ascii="Times New Roman" w:eastAsia="仿宋_GB2312"/>
          <w:b w:val="0"/>
          <w:sz w:val="32"/>
          <w:szCs w:val="32"/>
        </w:rPr>
        <w:t>；本年支出</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w:t>
      </w:r>
      <w:r>
        <w:rPr>
          <w:rFonts w:hint="eastAsia" w:ascii="仿宋" w:hAnsi="仿宋" w:eastAsia="仿宋" w:cs="仿宋"/>
          <w:kern w:val="2"/>
          <w:sz w:val="32"/>
          <w:szCs w:val="32"/>
          <w:lang w:val="zh-CN" w:eastAsia="zh-CN"/>
        </w:rPr>
        <w:t>与上年持平</w:t>
      </w:r>
      <w:r>
        <w:rPr>
          <w:rFonts w:ascii="Times New Roman" w:eastAsia="仿宋_GB2312"/>
          <w:b w:val="0"/>
          <w:sz w:val="32"/>
          <w:szCs w:val="32"/>
        </w:rPr>
        <w:t>，主要原因是</w:t>
      </w:r>
      <w:r>
        <w:rPr>
          <w:rFonts w:hint="eastAsia" w:ascii="Times New Roman" w:eastAsia="仿宋_GB2312"/>
          <w:b w:val="0"/>
          <w:sz w:val="32"/>
          <w:szCs w:val="32"/>
        </w:rPr>
        <w:t>无国有资本经营预算支出</w:t>
      </w:r>
      <w:r>
        <w:rPr>
          <w:rFonts w:ascii="Times New Roman" w:eastAsia="仿宋_GB2312"/>
          <w:b w:val="0"/>
          <w:sz w:val="32"/>
          <w:szCs w:val="32"/>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楷体_GB2312"/>
          <w:sz w:val="32"/>
          <w:szCs w:val="32"/>
        </w:rPr>
      </w:pPr>
      <w:r>
        <w:rPr>
          <w:rFonts w:ascii="Times New Roman" w:eastAsia="楷体_GB2312"/>
          <w:b/>
          <w:sz w:val="32"/>
          <w:szCs w:val="32"/>
        </w:rPr>
        <w:t>（二）财政拨款收支与年初预算数对比情况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本单位2024年度财政拨款本年收入16.21万元，完成年初预算的88.7%，比年初预算减少2.06万元，决算数小于预算数主要原因是</w:t>
      </w:r>
      <w:r>
        <w:rPr>
          <w:rFonts w:hint="eastAsia" w:ascii="Times New Roman" w:eastAsia="仿宋_GB2312"/>
          <w:b w:val="0"/>
          <w:sz w:val="32"/>
          <w:szCs w:val="32"/>
        </w:rPr>
        <w:t>依据实际情况收入</w:t>
      </w:r>
      <w:r>
        <w:rPr>
          <w:rFonts w:ascii="Times New Roman" w:eastAsia="仿宋_GB2312"/>
          <w:b w:val="0"/>
          <w:sz w:val="32"/>
          <w:szCs w:val="32"/>
        </w:rPr>
        <w:t>；本年支出16.21万元，完成年初预算的88.7%，比年初预算减少2.06万元，决算数小于预算数主要原因是</w:t>
      </w:r>
      <w:r>
        <w:rPr>
          <w:rFonts w:hint="eastAsia" w:ascii="Times New Roman" w:eastAsia="仿宋_GB2312"/>
          <w:b w:val="0"/>
          <w:sz w:val="32"/>
          <w:szCs w:val="32"/>
        </w:rPr>
        <w:t>依据实际下达金额支出</w:t>
      </w:r>
      <w:r>
        <w:rPr>
          <w:rFonts w:ascii="Times New Roman" w:eastAsia="仿宋_GB2312"/>
          <w:b w:val="0"/>
          <w:sz w:val="32"/>
          <w:szCs w:val="32"/>
        </w:rPr>
        <w:t>。具体情况如下：</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1.一般公共预算财政拨款本年收入完成年初预算的88.7%，比年初预算减少2.06万元，主要原因是</w:t>
      </w:r>
      <w:r>
        <w:rPr>
          <w:rFonts w:hint="eastAsia" w:ascii="Times New Roman" w:eastAsia="仿宋_GB2312"/>
          <w:b w:val="0"/>
          <w:sz w:val="32"/>
          <w:szCs w:val="32"/>
        </w:rPr>
        <w:t>依据实际情况收入</w:t>
      </w:r>
      <w:r>
        <w:rPr>
          <w:rFonts w:ascii="Times New Roman" w:eastAsia="仿宋_GB2312"/>
          <w:b w:val="0"/>
          <w:sz w:val="32"/>
          <w:szCs w:val="32"/>
        </w:rPr>
        <w:t>；支出完成年初预算的88.7%，比年初预算减少2.06万元，主要原因是</w:t>
      </w:r>
      <w:r>
        <w:rPr>
          <w:rFonts w:hint="eastAsia" w:ascii="Times New Roman" w:eastAsia="仿宋_GB2312"/>
          <w:b w:val="0"/>
          <w:sz w:val="32"/>
          <w:szCs w:val="32"/>
        </w:rPr>
        <w:t>依据实际下达金额支出</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与</w:t>
      </w:r>
      <w:r>
        <w:rPr>
          <w:rFonts w:ascii="Times New Roman" w:eastAsia="仿宋_GB2312"/>
          <w:b w:val="0"/>
          <w:sz w:val="32"/>
          <w:szCs w:val="32"/>
        </w:rPr>
        <w:t>年初预算</w:t>
      </w:r>
      <w:r>
        <w:rPr>
          <w:rFonts w:hint="eastAsia" w:ascii="Times New Roman" w:eastAsia="仿宋_GB2312"/>
          <w:b w:val="0"/>
          <w:sz w:val="32"/>
          <w:szCs w:val="32"/>
          <w:lang w:eastAsia="zh-CN"/>
        </w:rPr>
        <w:t>持平</w:t>
      </w:r>
      <w:r>
        <w:rPr>
          <w:rFonts w:ascii="Times New Roman" w:eastAsia="仿宋_GB2312"/>
          <w:b w:val="0"/>
          <w:sz w:val="32"/>
          <w:szCs w:val="32"/>
        </w:rPr>
        <w:t>，主要原因是</w:t>
      </w:r>
      <w:r>
        <w:rPr>
          <w:rFonts w:hint="eastAsia" w:ascii="仿宋" w:hAnsi="仿宋" w:eastAsia="仿宋" w:cs="仿宋"/>
          <w:kern w:val="2"/>
          <w:sz w:val="32"/>
          <w:szCs w:val="32"/>
          <w:rtl w:val="0"/>
          <w:lang w:val="zh-CN" w:eastAsia="zh-CN"/>
        </w:rPr>
        <w:t>无政府性基金</w:t>
      </w:r>
      <w:r>
        <w:rPr>
          <w:rFonts w:hint="eastAsia" w:ascii="仿宋" w:hAnsi="仿宋" w:eastAsia="仿宋" w:cs="仿宋"/>
          <w:kern w:val="2"/>
          <w:sz w:val="32"/>
          <w:szCs w:val="32"/>
          <w:rtl w:val="0"/>
          <w:lang w:val="en-US" w:eastAsia="zh-CN"/>
        </w:rPr>
        <w:t>预算收入</w:t>
      </w:r>
      <w:r>
        <w:rPr>
          <w:rFonts w:ascii="Times New Roman" w:eastAsia="仿宋_GB2312"/>
          <w:b w:val="0"/>
          <w:sz w:val="32"/>
          <w:szCs w:val="32"/>
        </w:rPr>
        <w:t>；支出完成年初预算的</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与</w:t>
      </w:r>
      <w:r>
        <w:rPr>
          <w:rFonts w:ascii="Times New Roman" w:eastAsia="仿宋_GB2312"/>
          <w:b w:val="0"/>
          <w:sz w:val="32"/>
          <w:szCs w:val="32"/>
        </w:rPr>
        <w:t>年初预算</w:t>
      </w:r>
      <w:r>
        <w:rPr>
          <w:rFonts w:hint="eastAsia" w:ascii="Times New Roman" w:eastAsia="仿宋_GB2312"/>
          <w:b w:val="0"/>
          <w:sz w:val="32"/>
          <w:szCs w:val="32"/>
          <w:lang w:eastAsia="zh-CN"/>
        </w:rPr>
        <w:t>持平</w:t>
      </w:r>
      <w:r>
        <w:rPr>
          <w:rFonts w:ascii="Times New Roman" w:eastAsia="仿宋_GB2312"/>
          <w:b w:val="0"/>
          <w:sz w:val="32"/>
          <w:szCs w:val="32"/>
        </w:rPr>
        <w:t>，主要原因是</w:t>
      </w:r>
      <w:r>
        <w:rPr>
          <w:rFonts w:hint="eastAsia" w:ascii="仿宋" w:hAnsi="仿宋" w:eastAsia="仿宋" w:cs="仿宋"/>
          <w:kern w:val="2"/>
          <w:sz w:val="32"/>
          <w:szCs w:val="32"/>
          <w:rtl w:val="0"/>
          <w:lang w:val="zh-CN" w:eastAsia="zh-CN"/>
        </w:rPr>
        <w:t>无政府性基金</w:t>
      </w:r>
      <w:r>
        <w:rPr>
          <w:rFonts w:hint="eastAsia" w:ascii="仿宋" w:hAnsi="仿宋" w:eastAsia="仿宋" w:cs="仿宋"/>
          <w:kern w:val="2"/>
          <w:sz w:val="32"/>
          <w:szCs w:val="32"/>
          <w:rtl w:val="0"/>
          <w:lang w:val="en-US" w:eastAsia="zh-CN"/>
        </w:rPr>
        <w:t>预算支出</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与</w:t>
      </w:r>
      <w:r>
        <w:rPr>
          <w:rFonts w:ascii="Times New Roman" w:eastAsia="仿宋_GB2312"/>
          <w:b w:val="0"/>
          <w:sz w:val="32"/>
          <w:szCs w:val="32"/>
        </w:rPr>
        <w:t>年初预算</w:t>
      </w:r>
      <w:r>
        <w:rPr>
          <w:rFonts w:hint="eastAsia" w:ascii="Times New Roman" w:eastAsia="仿宋_GB2312"/>
          <w:b w:val="0"/>
          <w:sz w:val="32"/>
          <w:szCs w:val="32"/>
          <w:lang w:eastAsia="zh-CN"/>
        </w:rPr>
        <w:t>持平</w:t>
      </w:r>
      <w:r>
        <w:rPr>
          <w:rFonts w:ascii="Times New Roman" w:eastAsia="仿宋_GB2312"/>
          <w:b w:val="0"/>
          <w:sz w:val="32"/>
          <w:szCs w:val="32"/>
        </w:rPr>
        <w:t>，主要原因是</w:t>
      </w:r>
      <w:r>
        <w:rPr>
          <w:rFonts w:hint="eastAsia" w:ascii="仿宋" w:hAnsi="仿宋" w:eastAsia="仿宋" w:cs="仿宋"/>
          <w:kern w:val="2"/>
          <w:sz w:val="32"/>
          <w:szCs w:val="32"/>
          <w:rtl w:val="0"/>
          <w:lang w:val="zh-CN" w:eastAsia="zh-CN"/>
        </w:rPr>
        <w:t>无国有资本经营预算收入</w:t>
      </w:r>
      <w:r>
        <w:rPr>
          <w:rFonts w:ascii="Times New Roman" w:eastAsia="仿宋_GB2312"/>
          <w:b w:val="0"/>
          <w:sz w:val="32"/>
          <w:szCs w:val="32"/>
        </w:rPr>
        <w:t>；支出完成年初预算的</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与</w:t>
      </w:r>
      <w:r>
        <w:rPr>
          <w:rFonts w:ascii="Times New Roman" w:eastAsia="仿宋_GB2312"/>
          <w:b w:val="0"/>
          <w:sz w:val="32"/>
          <w:szCs w:val="32"/>
        </w:rPr>
        <w:t>年初预算</w:t>
      </w:r>
      <w:r>
        <w:rPr>
          <w:rFonts w:hint="eastAsia" w:ascii="Times New Roman" w:eastAsia="仿宋_GB2312"/>
          <w:b w:val="0"/>
          <w:sz w:val="32"/>
          <w:szCs w:val="32"/>
          <w:lang w:eastAsia="zh-CN"/>
        </w:rPr>
        <w:t>持平</w:t>
      </w:r>
      <w:r>
        <w:rPr>
          <w:rFonts w:ascii="Times New Roman" w:eastAsia="仿宋_GB2312"/>
          <w:b w:val="0"/>
          <w:sz w:val="32"/>
          <w:szCs w:val="32"/>
        </w:rPr>
        <w:t>，主要原因是</w:t>
      </w:r>
      <w:r>
        <w:rPr>
          <w:rFonts w:hint="eastAsia" w:ascii="仿宋" w:hAnsi="仿宋" w:eastAsia="仿宋" w:cs="仿宋"/>
          <w:kern w:val="2"/>
          <w:sz w:val="32"/>
          <w:szCs w:val="32"/>
          <w:rtl w:val="0"/>
          <w:lang w:val="zh-CN" w:eastAsia="zh-CN"/>
        </w:rPr>
        <w:t>无国有资本经营预算支出</w:t>
      </w:r>
      <w:r>
        <w:rPr>
          <w:rFonts w:ascii="Times New Roman" w:eastAsia="仿宋_GB2312"/>
          <w:b w:val="0"/>
          <w:sz w:val="32"/>
          <w:szCs w:val="32"/>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楷体_GB2312"/>
          <w:sz w:val="32"/>
          <w:szCs w:val="32"/>
        </w:rPr>
      </w:pPr>
      <w:r>
        <w:rPr>
          <w:rFonts w:ascii="Times New Roman" w:eastAsia="楷体_GB2312"/>
          <w:b/>
          <w:sz w:val="32"/>
          <w:szCs w:val="32"/>
        </w:rPr>
        <w:t>（三）财政拨款支出决算结构情况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2024年度财政拨款支出16.21万元，主要用于以下方面：</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一般公共预算财政拨款支出：</w:t>
      </w:r>
    </w:p>
    <w:p>
      <w:pPr>
        <w:pStyle w:val="26"/>
        <w:ind w:firstLine="640" w:firstLineChars="200"/>
        <w:rPr>
          <w:rFonts w:hint="eastAsia" w:ascii="Times New Roman" w:eastAsia="仿宋_GB2312"/>
          <w:b w:val="0"/>
          <w:sz w:val="32"/>
          <w:szCs w:val="32"/>
          <w:lang w:eastAsia="zh-CN"/>
        </w:rPr>
      </w:pPr>
      <w:r>
        <w:rPr>
          <w:rFonts w:ascii="Times New Roman" w:eastAsia="仿宋_GB2312"/>
          <w:b w:val="0"/>
          <w:sz w:val="32"/>
          <w:szCs w:val="32"/>
        </w:rPr>
        <w:t>节能环保（类）支出16.21万元，占10</w:t>
      </w:r>
      <w:r>
        <w:rPr>
          <w:rFonts w:hint="eastAsia" w:ascii="Times New Roman" w:eastAsia="仿宋_GB2312"/>
          <w:b w:val="0"/>
          <w:sz w:val="32"/>
          <w:szCs w:val="32"/>
          <w:lang w:eastAsia="zh-CN"/>
        </w:rPr>
        <w:t>0</w:t>
      </w:r>
      <w:r>
        <w:rPr>
          <w:rFonts w:ascii="Times New Roman" w:eastAsia="仿宋_GB2312"/>
          <w:b w:val="0"/>
          <w:sz w:val="32"/>
          <w:szCs w:val="32"/>
        </w:rPr>
        <w:t>%，主要用于</w:t>
      </w:r>
      <w:r>
        <w:rPr>
          <w:rFonts w:hint="eastAsia" w:ascii="Times New Roman" w:eastAsia="仿宋_GB2312"/>
          <w:b w:val="0"/>
          <w:sz w:val="32"/>
          <w:szCs w:val="32"/>
        </w:rPr>
        <w:t>环境保护管理事务</w:t>
      </w:r>
      <w:r>
        <w:rPr>
          <w:rFonts w:ascii="Times New Roman" w:eastAsia="仿宋_GB2312"/>
          <w:b w:val="0"/>
          <w:sz w:val="32"/>
          <w:szCs w:val="32"/>
        </w:rPr>
        <w:t>等支出</w:t>
      </w:r>
      <w:r>
        <w:rPr>
          <w:rFonts w:hint="eastAsia" w:ascii="Times New Roman" w:eastAsia="仿宋_GB2312"/>
          <w:b w:val="0"/>
          <w:sz w:val="32"/>
          <w:szCs w:val="32"/>
          <w:lang w:eastAsia="zh-CN"/>
        </w:rPr>
        <w:t>。</w:t>
      </w:r>
    </w:p>
    <w:p>
      <w:pPr>
        <w:pStyle w:val="26"/>
        <w:ind w:firstLine="640" w:firstLineChars="200"/>
        <w:rPr>
          <w:rFonts w:hint="eastAsia" w:ascii="Times New Roman" w:hAnsi="Calibri" w:eastAsia="仿宋_GB2312" w:cs="宋体"/>
          <w:b w:val="0"/>
          <w:color w:val="auto"/>
          <w:kern w:val="0"/>
          <w:sz w:val="32"/>
          <w:szCs w:val="32"/>
          <w:lang w:val="en-US" w:eastAsia="zh-CN" w:bidi="ar-SA"/>
        </w:rPr>
      </w:pPr>
      <w:r>
        <w:rPr>
          <w:rFonts w:hint="eastAsia" w:ascii="Times New Roman" w:hAnsi="Calibri" w:eastAsia="黑体" w:cs="Times New Roman"/>
          <w:kern w:val="2"/>
          <w:sz w:val="32"/>
          <w:szCs w:val="32"/>
          <w:lang w:val="en-US" w:eastAsia="zh-CN" w:bidi="ar-SA"/>
        </w:rPr>
        <w:t>政府性基金预算财政拨款支出</w:t>
      </w:r>
      <w:r>
        <w:rPr>
          <w:rFonts w:hint="eastAsia" w:ascii="宋体" w:hAnsi="宋体"/>
          <w:b/>
          <w:sz w:val="32"/>
          <w:szCs w:val="32"/>
        </w:rPr>
        <w:t>：</w:t>
      </w:r>
      <w:r>
        <w:rPr>
          <w:rFonts w:hint="eastAsia" w:ascii="Times New Roman" w:hAnsi="Calibri" w:eastAsia="仿宋_GB2312" w:cs="宋体"/>
          <w:b w:val="0"/>
          <w:color w:val="auto"/>
          <w:kern w:val="0"/>
          <w:sz w:val="32"/>
          <w:szCs w:val="32"/>
          <w:lang w:val="en-US" w:eastAsia="zh-CN" w:bidi="ar-SA"/>
        </w:rPr>
        <w:t>本年度无政府性基金预算支出。</w:t>
      </w:r>
    </w:p>
    <w:p>
      <w:pPr>
        <w:pStyle w:val="26"/>
        <w:ind w:firstLine="640" w:firstLineChars="200"/>
        <w:rPr>
          <w:rFonts w:hint="eastAsia" w:ascii="Times New Roman" w:hAnsi="Calibri" w:eastAsia="仿宋_GB2312" w:cs="宋体"/>
          <w:b w:val="0"/>
          <w:color w:val="auto"/>
          <w:kern w:val="0"/>
          <w:sz w:val="32"/>
          <w:szCs w:val="32"/>
          <w:lang w:val="en-US" w:eastAsia="zh-CN" w:bidi="ar-SA"/>
        </w:rPr>
      </w:pPr>
      <w:r>
        <w:rPr>
          <w:rFonts w:hint="eastAsia" w:ascii="Times New Roman" w:hAnsi="Calibri" w:eastAsia="黑体" w:cs="Times New Roman"/>
          <w:kern w:val="2"/>
          <w:sz w:val="32"/>
          <w:szCs w:val="32"/>
          <w:lang w:val="en-US" w:eastAsia="zh-CN" w:bidi="ar-SA"/>
        </w:rPr>
        <w:t>国有资本经营预算财政拨款支出</w:t>
      </w:r>
      <w:r>
        <w:rPr>
          <w:rFonts w:hint="eastAsia" w:ascii="宋体" w:hAnsi="宋体"/>
          <w:b/>
          <w:sz w:val="32"/>
          <w:szCs w:val="32"/>
        </w:rPr>
        <w:t>：</w:t>
      </w:r>
      <w:r>
        <w:rPr>
          <w:rFonts w:hint="eastAsia" w:ascii="Times New Roman" w:hAnsi="Calibri" w:eastAsia="仿宋_GB2312" w:cs="宋体"/>
          <w:b w:val="0"/>
          <w:color w:val="auto"/>
          <w:kern w:val="0"/>
          <w:sz w:val="32"/>
          <w:szCs w:val="32"/>
          <w:lang w:val="en-US" w:eastAsia="zh-CN" w:bidi="ar-SA"/>
        </w:rPr>
        <w:t>本年度无国有资本经营预算财政拨款支出。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hint="eastAsia" w:ascii="Times New Roman" w:eastAsia="仿宋_GB2312"/>
          <w:b w:val="0"/>
          <w:sz w:val="32"/>
          <w:szCs w:val="32"/>
          <w:lang w:eastAsia="zh-CN"/>
        </w:rPr>
      </w:pPr>
    </w:p>
    <w:p>
      <w:pPr>
        <w:pStyle w:val="5"/>
        <w:numPr>
          <w:numId w:val="0"/>
        </w:numPr>
        <w:ind w:left="480" w:leftChars="0"/>
        <w:rPr>
          <w:rFonts w:hint="eastAsia"/>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楷体_GB2312"/>
          <w:sz w:val="32"/>
          <w:szCs w:val="32"/>
        </w:rPr>
      </w:pPr>
      <w:r>
        <w:rPr>
          <w:rFonts w:ascii="Times New Roman" w:eastAsia="楷体_GB2312"/>
          <w:b/>
          <w:sz w:val="32"/>
          <w:szCs w:val="32"/>
        </w:rPr>
        <w:t>（四）一般公共预算基本支出决算情况说明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2024年度财政拨款基本支出</w:t>
      </w:r>
      <w:r>
        <w:rPr>
          <w:rFonts w:hint="eastAsia" w:ascii="Times New Roman" w:eastAsia="仿宋_GB2312"/>
          <w:b w:val="0"/>
          <w:sz w:val="32"/>
          <w:szCs w:val="32"/>
          <w:lang w:val="en-US" w:eastAsia="zh-CN"/>
        </w:rPr>
        <w:t>0</w:t>
      </w:r>
      <w:r>
        <w:rPr>
          <w:rFonts w:ascii="Times New Roman" w:eastAsia="仿宋_GB2312"/>
          <w:b w:val="0"/>
          <w:sz w:val="32"/>
          <w:szCs w:val="32"/>
        </w:rPr>
        <w:t>万元，其中：人员经费</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w:t>
      </w:r>
      <w:r>
        <w:rPr>
          <w:rFonts w:ascii="Times New Roman" w:eastAsia="仿宋_GB2312"/>
          <w:b w:val="0"/>
          <w:sz w:val="32"/>
          <w:szCs w:val="32"/>
        </w:rPr>
        <w:t>公用经费</w:t>
      </w:r>
      <w:r>
        <w:rPr>
          <w:rFonts w:hint="eastAsia" w:ascii="Times New Roman" w:eastAsia="仿宋_GB2312"/>
          <w:b w:val="0"/>
          <w:sz w:val="32"/>
          <w:szCs w:val="32"/>
          <w:lang w:val="en-US" w:eastAsia="zh-CN"/>
        </w:rPr>
        <w:t>0</w:t>
      </w:r>
      <w:r>
        <w:rPr>
          <w:rFonts w:ascii="Times New Roman" w:eastAsia="仿宋_GB2312"/>
          <w:b w:val="0"/>
          <w:sz w:val="32"/>
          <w:szCs w:val="32"/>
        </w:rPr>
        <w:t>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ascii="Times New Roman" w:eastAsia="黑体"/>
          <w:sz w:val="32"/>
          <w:szCs w:val="32"/>
        </w:rPr>
      </w:pPr>
      <w:r>
        <w:rPr>
          <w:rFonts w:ascii="Times New Roman" w:eastAsia="黑体"/>
          <w:b w:val="0"/>
          <w:sz w:val="32"/>
          <w:szCs w:val="32"/>
        </w:rPr>
        <w:t>五、财政拨款“三公”经费支出决算情况说明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楷体_GB2312"/>
          <w:sz w:val="32"/>
          <w:szCs w:val="32"/>
        </w:rPr>
      </w:pPr>
      <w:r>
        <w:rPr>
          <w:rFonts w:ascii="Times New Roman" w:eastAsia="楷体_GB2312"/>
          <w:b/>
          <w:sz w:val="32"/>
          <w:szCs w:val="32"/>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pPr>
      <w:r>
        <w:rPr>
          <w:rFonts w:ascii="Times New Roman" w:eastAsia="仿宋_GB2312"/>
          <w:b w:val="0"/>
          <w:sz w:val="32"/>
          <w:szCs w:val="32"/>
        </w:rPr>
        <w:t>本单位2024年度“三公”经费财政拨款支出预算为0万元，支出决算为0万元，完成预算的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%，较预算增加0万元，增长0%，主要原因是</w:t>
      </w:r>
      <w:r>
        <w:rPr>
          <w:rStyle w:val="14"/>
          <w:rFonts w:hint="eastAsia" w:ascii="仿宋" w:hAnsi="仿宋" w:eastAsia="仿宋" w:cs="仿宋"/>
          <w:b w:val="0"/>
          <w:bCs w:val="0"/>
          <w:i w:val="0"/>
          <w:iCs w:val="0"/>
          <w:caps w:val="0"/>
          <w:color w:val="333333"/>
          <w:spacing w:val="0"/>
          <w:sz w:val="32"/>
          <w:szCs w:val="32"/>
          <w:rtl w:val="0"/>
          <w:lang w:val="en-US" w:eastAsia="zh-CN"/>
        </w:rPr>
        <w:t>未发生“三公”经费支出</w:t>
      </w:r>
      <w:r>
        <w:rPr>
          <w:rFonts w:ascii="Times New Roman" w:eastAsia="仿宋_GB2312"/>
          <w:b w:val="0"/>
          <w:sz w:val="32"/>
          <w:szCs w:val="32"/>
        </w:rPr>
        <w:t>；较2023年度决算增加0万元，增长0%，主要原因是</w:t>
      </w:r>
      <w:r>
        <w:rPr>
          <w:rStyle w:val="14"/>
          <w:rFonts w:hint="eastAsia" w:ascii="仿宋" w:hAnsi="仿宋" w:eastAsia="仿宋" w:cs="仿宋"/>
          <w:b w:val="0"/>
          <w:bCs w:val="0"/>
          <w:i w:val="0"/>
          <w:iCs w:val="0"/>
          <w:caps w:val="0"/>
          <w:color w:val="333333"/>
          <w:spacing w:val="0"/>
          <w:sz w:val="32"/>
          <w:szCs w:val="32"/>
          <w:rtl w:val="0"/>
          <w:lang w:val="en-US" w:eastAsia="zh-CN"/>
        </w:rPr>
        <w:t>未发生“三公”经费支出</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楷体_GB2312"/>
          <w:sz w:val="32"/>
          <w:szCs w:val="32"/>
        </w:rPr>
      </w:pPr>
      <w:r>
        <w:rPr>
          <w:rFonts w:ascii="Times New Roman" w:eastAsia="楷体_GB2312"/>
          <w:b/>
          <w:sz w:val="32"/>
          <w:szCs w:val="32"/>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楷体_GB2312"/>
          <w:b/>
          <w:sz w:val="32"/>
          <w:szCs w:val="32"/>
        </w:rPr>
        <w:t>1.因公出国（境）费支出情况。</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因公出国（境）费支出预算为0万元,支出决算0万元，完成预算的100%。较预算增加0万元，增长0%,与预算数持平，因公出国（境）费支出较预算持平,主要是未发生因公出国（境）费用；较上年增加0万元，增长0%,主要是未发生因公出国（境）费用，与202</w:t>
      </w:r>
      <w:r>
        <w:rPr>
          <w:rFonts w:hint="eastAsia" w:ascii="Times New Roman" w:eastAsia="仿宋_GB2312"/>
          <w:b w:val="0"/>
          <w:sz w:val="32"/>
          <w:szCs w:val="32"/>
          <w:lang w:val="en-US" w:eastAsia="zh-CN"/>
        </w:rPr>
        <w:t>3</w:t>
      </w:r>
      <w:r>
        <w:rPr>
          <w:rFonts w:hint="eastAsia" w:ascii="Times New Roman" w:eastAsia="仿宋_GB2312"/>
          <w:b w:val="0"/>
          <w:sz w:val="32"/>
          <w:szCs w:val="32"/>
        </w:rPr>
        <w:t>年度决算支出持平。因公出国（境）团组0个、共0人、参加其他单位组织的因公出国（境）团组0个、共0人，无本部门组织的出国（境）团组。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楷体_GB2312"/>
          <w:b/>
          <w:sz w:val="32"/>
          <w:szCs w:val="32"/>
        </w:rPr>
        <w:t>2.公务用车购置及运行维护费支出情况。</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公务用车购置及运行维护费预算为0万元，支出决算0万元，完成预算的100%,较预算增加0万元，增长0%,主要是未发生公务用车购置及运行维护费；较上年增加0万元，增长0%,主要是未发生公务用车购置及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val="en-US" w:eastAsia="zh-CN"/>
        </w:rPr>
        <w:t>0</w:t>
      </w:r>
      <w:r>
        <w:rPr>
          <w:rFonts w:ascii="Times New Roman" w:eastAsia="仿宋_GB2312"/>
          <w:b/>
          <w:sz w:val="32"/>
          <w:szCs w:val="32"/>
        </w:rPr>
        <w:t>万元：</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公务用车购置量0辆，发生“公务用车购置”经费支出0万元。公务用车购置费支出较预算增加0万元，增长0%,主要是未发生公务用车购置费支出，较上年增加0万元，增长0%,主要是未发生公务用车购置费支出，与202</w:t>
      </w:r>
      <w:r>
        <w:rPr>
          <w:rFonts w:hint="eastAsia" w:ascii="Times New Roman" w:eastAsia="仿宋_GB2312"/>
          <w:b w:val="0"/>
          <w:sz w:val="32"/>
          <w:szCs w:val="32"/>
          <w:lang w:val="en-US" w:eastAsia="zh-CN"/>
        </w:rPr>
        <w:t>3</w:t>
      </w:r>
      <w:r>
        <w:rPr>
          <w:rFonts w:hint="eastAsia" w:ascii="Times New Roman" w:eastAsia="仿宋_GB2312"/>
          <w:b w:val="0"/>
          <w:sz w:val="32"/>
          <w:szCs w:val="32"/>
        </w:rPr>
        <w:t>年度决算支出持平。</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公务用车运行维护费支出</w:t>
      </w:r>
      <w:r>
        <w:rPr>
          <w:rFonts w:hint="eastAsia" w:ascii="Times New Roman" w:eastAsia="仿宋_GB2312"/>
          <w:b/>
          <w:sz w:val="32"/>
          <w:szCs w:val="32"/>
          <w:lang w:val="en-US" w:eastAsia="zh-CN"/>
        </w:rPr>
        <w:t>0</w:t>
      </w:r>
      <w:r>
        <w:rPr>
          <w:rFonts w:ascii="Times New Roman" w:eastAsia="仿宋_GB2312"/>
          <w:b/>
          <w:sz w:val="32"/>
          <w:szCs w:val="32"/>
        </w:rPr>
        <w:t>万元：</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年度单位公务用车保有量0辆，发生运行维护费支出0万元。公车运行维护费支出较预算增加0万元，增长0%,主要是未发生公务用车维护费支出；较上年增加0万元，增长0%，主要是未发生公务用车维护费支出，与202</w:t>
      </w:r>
      <w:r>
        <w:rPr>
          <w:rFonts w:hint="eastAsia" w:ascii="Times New Roman" w:eastAsia="仿宋_GB2312"/>
          <w:b w:val="0"/>
          <w:sz w:val="32"/>
          <w:szCs w:val="32"/>
          <w:lang w:val="en-US" w:eastAsia="zh-CN"/>
        </w:rPr>
        <w:t>3</w:t>
      </w:r>
      <w:r>
        <w:rPr>
          <w:rFonts w:hint="eastAsia" w:ascii="Times New Roman" w:eastAsia="仿宋_GB2312"/>
          <w:b w:val="0"/>
          <w:sz w:val="32"/>
          <w:szCs w:val="32"/>
        </w:rPr>
        <w:t>年度决算支出持平。</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楷体_GB2312"/>
          <w:b/>
          <w:sz w:val="32"/>
          <w:szCs w:val="32"/>
        </w:rPr>
        <w:t>3.公务接待费支出情况。</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公务接待费支出预算为0万元，支出决算0万元，完成预算的100%。公务接待费支出较预算增加0万元，增长0%,主要是未发生公务接待费支出；较上年度增加0万元，增长0%,主要是未发生公务接待费支出。本年度共发生公务接待0批次、0人次，与202</w:t>
      </w:r>
      <w:r>
        <w:rPr>
          <w:rFonts w:hint="eastAsia" w:ascii="Times New Roman" w:eastAsia="仿宋_GB2312"/>
          <w:b w:val="0"/>
          <w:sz w:val="32"/>
          <w:szCs w:val="32"/>
          <w:lang w:val="en-US" w:eastAsia="zh-CN"/>
        </w:rPr>
        <w:t>3</w:t>
      </w:r>
      <w:r>
        <w:rPr>
          <w:rFonts w:hint="eastAsia" w:ascii="Times New Roman" w:eastAsia="仿宋_GB2312"/>
          <w:b w:val="0"/>
          <w:sz w:val="32"/>
          <w:szCs w:val="32"/>
        </w:rPr>
        <w:t>年度决算支出持平。</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ascii="Times New Roman" w:eastAsia="黑体"/>
          <w:sz w:val="32"/>
          <w:szCs w:val="32"/>
        </w:rPr>
      </w:pPr>
      <w:r>
        <w:rPr>
          <w:rFonts w:ascii="Times New Roman" w:eastAsia="黑体"/>
          <w:b w:val="0"/>
          <w:sz w:val="32"/>
          <w:szCs w:val="32"/>
        </w:rPr>
        <w:t>六、机关运行经费支出说明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本单位2024年度机关运行经费支出</w:t>
      </w:r>
      <w:r>
        <w:rPr>
          <w:rFonts w:hint="eastAsia" w:ascii="Times New Roman" w:eastAsia="仿宋_GB2312"/>
          <w:b w:val="0"/>
          <w:sz w:val="32"/>
          <w:szCs w:val="32"/>
          <w:lang w:val="en-US" w:eastAsia="zh-CN"/>
        </w:rPr>
        <w:t>0</w:t>
      </w:r>
      <w:r>
        <w:rPr>
          <w:rFonts w:ascii="Times New Roman" w:eastAsia="仿宋_GB2312"/>
          <w:b w:val="0"/>
          <w:sz w:val="32"/>
          <w:szCs w:val="32"/>
        </w:rPr>
        <w:t>万元，较2023年度增加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rPr>
        <w:t>未发生机关运行费</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ascii="Times New Roman" w:eastAsia="黑体"/>
          <w:sz w:val="32"/>
          <w:szCs w:val="32"/>
        </w:rPr>
      </w:pPr>
      <w:r>
        <w:rPr>
          <w:rFonts w:ascii="Times New Roman" w:eastAsia="黑体"/>
          <w:b w:val="0"/>
          <w:sz w:val="32"/>
          <w:szCs w:val="32"/>
        </w:rPr>
        <w:t>七、政府采购支出说明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hint="eastAsia" w:ascii="Times New Roman" w:eastAsia="仿宋_GB2312"/>
          <w:b w:val="0"/>
          <w:sz w:val="32"/>
          <w:szCs w:val="32"/>
        </w:rPr>
      </w:pP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ascii="Times New Roman" w:eastAsia="黑体"/>
          <w:sz w:val="32"/>
          <w:szCs w:val="32"/>
        </w:rPr>
      </w:pPr>
      <w:r>
        <w:rPr>
          <w:rFonts w:ascii="Times New Roman" w:eastAsia="黑体"/>
          <w:b w:val="0"/>
          <w:sz w:val="32"/>
          <w:szCs w:val="32"/>
        </w:rPr>
        <w:t>八、国有资产占用情况说明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截至2024年12月31日，本单位共有车辆0辆，比上年增加0辆，主要是</w:t>
      </w:r>
      <w:r>
        <w:rPr>
          <w:rFonts w:hint="eastAsia" w:ascii="Times New Roman" w:eastAsia="仿宋_GB2312"/>
          <w:b w:val="0"/>
          <w:sz w:val="32"/>
          <w:szCs w:val="32"/>
        </w:rPr>
        <w:t>本单位202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年度未发生国有资产占用情况</w:t>
      </w:r>
      <w:r>
        <w:rPr>
          <w:rFonts w:ascii="Times New Roman" w:eastAsia="仿宋_GB2312"/>
          <w:b w:val="0"/>
          <w:sz w:val="32"/>
          <w:szCs w:val="32"/>
        </w:rPr>
        <w:t>。其中，副部（省）级及以上领导用车0辆，主要负责人用车0辆，机要通信用车0辆，应急保障用车0辆，执法执勤用车0辆，特种专业技术用车0辆，离退休干部用车0辆，其他用车0辆</w:t>
      </w:r>
      <w:bookmarkStart w:id="0" w:name="_GoBack"/>
      <w:bookmarkEnd w:id="0"/>
      <w:r>
        <w:rPr>
          <w:rFonts w:ascii="Times New Roman" w:eastAsia="仿宋_GB2312"/>
          <w:b w:val="0"/>
          <w:sz w:val="32"/>
          <w:szCs w:val="32"/>
        </w:rPr>
        <w:t>。单位价值100万元（含）以上设备（不含车辆）0台（套）。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outlineLvl w:val="1"/>
        <w:rPr>
          <w:rFonts w:ascii="Times New Roman" w:eastAsia="黑体"/>
          <w:sz w:val="32"/>
          <w:szCs w:val="32"/>
        </w:rPr>
      </w:pPr>
      <w:r>
        <w:rPr>
          <w:rFonts w:ascii="Times New Roman" w:eastAsia="黑体"/>
          <w:b w:val="0"/>
          <w:sz w:val="32"/>
          <w:szCs w:val="32"/>
        </w:rPr>
        <w:t>九、关于2024年度绩效评价情况的说明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（一）绩效评价工作开展情况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16.21</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1</w:t>
      </w:r>
      <w:r>
        <w:rPr>
          <w:rFonts w:ascii="Times New Roman" w:eastAsia="仿宋_GB2312"/>
          <w:b w:val="0"/>
          <w:sz w:val="32"/>
          <w:szCs w:val="32"/>
        </w:rPr>
        <w:t>个，涉及资金</w:t>
      </w:r>
      <w:r>
        <w:rPr>
          <w:rFonts w:hint="eastAsia" w:ascii="Times New Roman" w:eastAsia="仿宋_GB2312"/>
          <w:b w:val="0"/>
          <w:sz w:val="32"/>
          <w:szCs w:val="32"/>
          <w:lang w:val="en-US" w:eastAsia="zh-CN"/>
        </w:rPr>
        <w:t>16.21</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hint="eastAsia" w:ascii="Times New Roman" w:eastAsia="仿宋_GB2312"/>
          <w:b w:val="0"/>
          <w:sz w:val="32"/>
          <w:szCs w:val="32"/>
        </w:rPr>
      </w:pPr>
      <w:r>
        <w:rPr>
          <w:rFonts w:hint="eastAsia" w:ascii="Times New Roman" w:eastAsia="仿宋_GB2312"/>
          <w:b w:val="0"/>
          <w:sz w:val="32"/>
          <w:szCs w:val="32"/>
        </w:rPr>
        <w:t>组织对202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年度“滨湖新区租车费”项目，委托三方租赁公司开展绩效评价，从评价情况来看，三方租赁公司保障本单位用车的数量及质量，确保在车辆正常使用的情况下将成本严控到最低。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（二）部门决算中项目绩效自评结果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hint="eastAsia" w:ascii="Times New Roman" w:eastAsia="仿宋_GB2312"/>
          <w:b w:val="0"/>
          <w:sz w:val="32"/>
          <w:szCs w:val="32"/>
        </w:rPr>
      </w:pPr>
      <w:r>
        <w:rPr>
          <w:rFonts w:hint="eastAsia" w:ascii="Times New Roman" w:eastAsia="仿宋_GB2312"/>
          <w:b w:val="0"/>
          <w:sz w:val="32"/>
          <w:szCs w:val="32"/>
        </w:rPr>
        <w:t>本单位在今年部门决算公开中反映 滨湖新区租车费项目绩效自评结果。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hint="eastAsia" w:ascii="Times New Roman" w:eastAsia="仿宋_GB2312"/>
          <w:b w:val="0"/>
          <w:sz w:val="32"/>
          <w:szCs w:val="32"/>
        </w:rPr>
      </w:pPr>
      <w:r>
        <w:rPr>
          <w:rFonts w:hint="eastAsia" w:ascii="Times New Roman" w:eastAsia="仿宋_GB2312"/>
          <w:b w:val="0"/>
          <w:sz w:val="32"/>
          <w:szCs w:val="32"/>
        </w:rPr>
        <w:t>滨湖新区租车费项目绩效自评情况：根据年初设定的绩效目标，滨湖新区租车费项目绩效自评得分为88.</w:t>
      </w:r>
      <w:r>
        <w:rPr>
          <w:rFonts w:hint="eastAsia" w:ascii="Times New Roman" w:eastAsia="仿宋_GB2312"/>
          <w:b w:val="0"/>
          <w:sz w:val="32"/>
          <w:szCs w:val="32"/>
          <w:lang w:val="en-US" w:eastAsia="zh-CN"/>
        </w:rPr>
        <w:t>7</w:t>
      </w:r>
      <w:r>
        <w:rPr>
          <w:rFonts w:hint="eastAsia" w:ascii="Times New Roman" w:eastAsia="仿宋_GB2312"/>
          <w:b w:val="0"/>
          <w:sz w:val="32"/>
          <w:szCs w:val="32"/>
        </w:rPr>
        <w:t>分（绩效自评表附后）。全年预算数为</w:t>
      </w:r>
      <w:r>
        <w:rPr>
          <w:rFonts w:hint="eastAsia" w:ascii="Times New Roman" w:eastAsia="仿宋_GB2312"/>
          <w:b w:val="0"/>
          <w:sz w:val="32"/>
          <w:szCs w:val="32"/>
          <w:lang w:val="en-US" w:eastAsia="zh-CN"/>
        </w:rPr>
        <w:t>18.27</w:t>
      </w:r>
      <w:r>
        <w:rPr>
          <w:rFonts w:hint="eastAsia" w:ascii="Times New Roman" w:eastAsia="仿宋_GB2312"/>
          <w:b w:val="0"/>
          <w:sz w:val="32"/>
          <w:szCs w:val="32"/>
        </w:rPr>
        <w:t>万元，执行数为</w:t>
      </w:r>
      <w:r>
        <w:rPr>
          <w:rFonts w:hint="eastAsia" w:ascii="Times New Roman" w:eastAsia="仿宋_GB2312"/>
          <w:b w:val="0"/>
          <w:sz w:val="32"/>
          <w:szCs w:val="32"/>
          <w:lang w:val="en-US" w:eastAsia="zh-CN"/>
        </w:rPr>
        <w:t>16.21</w:t>
      </w:r>
      <w:r>
        <w:rPr>
          <w:rFonts w:hint="eastAsia" w:ascii="Times New Roman" w:eastAsia="仿宋_GB2312"/>
          <w:b w:val="0"/>
          <w:sz w:val="32"/>
          <w:szCs w:val="32"/>
        </w:rPr>
        <w:t>万元，完成预算的</w:t>
      </w:r>
      <w:r>
        <w:rPr>
          <w:rFonts w:hint="eastAsia" w:ascii="Times New Roman" w:eastAsia="仿宋_GB2312"/>
          <w:b w:val="0"/>
          <w:sz w:val="32"/>
          <w:szCs w:val="32"/>
          <w:lang w:val="en-US" w:eastAsia="zh-CN"/>
        </w:rPr>
        <w:t>88.7</w:t>
      </w:r>
      <w:r>
        <w:rPr>
          <w:rFonts w:hint="eastAsia" w:ascii="Times New Roman" w:eastAsia="仿宋_GB2312"/>
          <w:b w:val="0"/>
          <w:sz w:val="32"/>
          <w:szCs w:val="32"/>
        </w:rPr>
        <w:t>%。项目绩效目标完成情况：一是租赁执法用车数量、车辆出勤率；二是成本控制情况。该项目严格按照年初预算根据实际情况进行整体支出。未发现问题。</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b w:val="0"/>
          <w:sz w:val="32"/>
          <w:szCs w:val="32"/>
        </w:rPr>
      </w:pPr>
      <w:r>
        <w:rPr>
          <w:rFonts w:hint="eastAsia" w:ascii="Times New Roman" w:eastAsia="仿宋_GB2312"/>
          <w:b w:val="0"/>
          <w:sz w:val="32"/>
          <w:szCs w:val="32"/>
        </w:rPr>
        <w:t>滨湖新区租车费项目绩效自评情况：后附项目支出绩效自评表</w:t>
      </w:r>
      <w:r>
        <w:rPr>
          <w:rFonts w:ascii="Times New Roman" w:eastAsia="仿宋_GB2312"/>
          <w:b w:val="0"/>
          <w:sz w:val="32"/>
          <w:szCs w:val="32"/>
        </w:rPr>
        <w:t>。</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4"/>
        <w:gridCol w:w="683"/>
        <w:gridCol w:w="886"/>
        <w:gridCol w:w="1034"/>
        <w:gridCol w:w="1927"/>
        <w:gridCol w:w="429"/>
        <w:gridCol w:w="398"/>
        <w:gridCol w:w="428"/>
        <w:gridCol w:w="718"/>
        <w:gridCol w:w="1055"/>
        <w:gridCol w:w="515"/>
        <w:gridCol w:w="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34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965"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滨湖新区分局执法用车租赁项目</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271"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85"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837"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467011 - 衡水市生态环境局滨湖新区分局</w:t>
            </w:r>
          </w:p>
        </w:tc>
        <w:tc>
          <w:tcPr>
            <w:tcW w:w="4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285" w:type="pct"/>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restar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781"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852" w:type="pct"/>
            <w:gridSpan w:val="3"/>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223" w:type="pct"/>
            <w:gridSpan w:val="4"/>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698"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4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438"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18.270000</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1325"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18.270000</w:t>
            </w:r>
          </w:p>
        </w:tc>
        <w:tc>
          <w:tcPr>
            <w:tcW w:w="385"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83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16.207900</w:t>
            </w:r>
          </w:p>
        </w:tc>
        <w:tc>
          <w:tcPr>
            <w:tcW w:w="698" w:type="pct"/>
            <w:gridSpan w:val="2"/>
            <w:vMerge w:val="restart"/>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4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438"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18.270000</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325"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18.270000</w:t>
            </w:r>
          </w:p>
        </w:tc>
        <w:tc>
          <w:tcPr>
            <w:tcW w:w="385"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3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16.207900</w:t>
            </w:r>
          </w:p>
        </w:tc>
        <w:tc>
          <w:tcPr>
            <w:tcW w:w="698"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4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438"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325"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85"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3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98"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361" w:type="pct"/>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494"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698"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361"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便于开展日常执法监督检查，进一步改善环境质量</w:t>
            </w:r>
          </w:p>
        </w:tc>
        <w:tc>
          <w:tcPr>
            <w:tcW w:w="1494" w:type="pct"/>
            <w:gridSpan w:val="5"/>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w:t>
            </w:r>
          </w:p>
        </w:tc>
        <w:tc>
          <w:tcPr>
            <w:tcW w:w="69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342"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438"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52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05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27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709" w:type="pct"/>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513"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413"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285"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8"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05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7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2"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202"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324"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51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8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租赁执法用车数量</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租赁执法用车数量</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辆</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大于等于1辆</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车辆出勤率</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车辆实际出勤天数占应出勤天数的比率</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工作按期完成率</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实际完成的工作占计划完成工作的比率</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次租车单价</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每天每台租金</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230</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小于等于230元</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提高环境保护意识</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提高企业环境保护意识</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重大环保事件及时发现率</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及时发现的重大环保事件占全部重大环保事件的比率</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生态效益指标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有效的改善大气环境质量</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进一步改善环境质量</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可持续影响指标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开展日常监督检查</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开展日常监督检查，进一步改善环境质量</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5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车辆使用人员满意度</w:t>
            </w:r>
          </w:p>
        </w:tc>
        <w:tc>
          <w:tcPr>
            <w:tcW w:w="105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车辆使用人员满意度</w:t>
            </w: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0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3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1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1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43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526"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1054"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2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82"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202"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324"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513"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413"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285"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42"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212" w:type="pct"/>
            <w:gridSpan w:val="10"/>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55" w:type="pct"/>
            <w:gridSpan w:val="11"/>
            <w:vMerge w:val="restart"/>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55" w:type="pct"/>
            <w:gridSpan w:val="11"/>
            <w:vMerge w:val="continue"/>
            <w:tcBorders>
              <w:top w:val="nil"/>
              <w:left w:val="nil"/>
              <w:bottom w:val="single" w:color="B0C4DE" w:sz="4" w:space="0"/>
              <w:right w:val="single" w:color="B0C4DE"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bl>
    <w:p>
      <w:pPr>
        <w:widowControl/>
        <w:spacing w:before="0" w:beforeLines="0" w:beforeAutospacing="0" w:after="0" w:afterLines="0" w:afterAutospacing="0" w:line="360" w:lineRule="auto"/>
        <w:ind w:firstLine="480" w:firstLineChars="200"/>
        <w:jc w:val="left"/>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（三）部门评价项目绩效评价结果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hint="eastAsia" w:ascii="Times New Roman" w:eastAsia="仿宋_GB2312"/>
          <w:sz w:val="32"/>
          <w:szCs w:val="32"/>
        </w:rPr>
        <w:t>预算项目主要绩效指标完成较好，支出进度完成情况较好。</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黑体"/>
          <w:sz w:val="32"/>
          <w:szCs w:val="32"/>
        </w:rPr>
      </w:pPr>
      <w:r>
        <w:rPr>
          <w:rFonts w:ascii="Times New Roman" w:eastAsia="黑体"/>
          <w:b w:val="0"/>
          <w:sz w:val="32"/>
          <w:szCs w:val="32"/>
        </w:rPr>
        <w:t>十、其他需要说明的情况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1.本单位2024年度一般公共预算财政拨款基本支出决算明细表（公开06表）、政府性基金预算财政拨款收入支出决算表（公开07表）、国有资本经营预算财政拨款支出决算表（公开08表）、财政拨款“三公”经费支出决算表（公开09表）无相应收支，故空表列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b w:val="0"/>
          <w:sz w:val="44"/>
          <w:szCs w:val="44"/>
        </w:rPr>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highlight w:val="none"/>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i w:val="0"/>
          <w:iCs w:val="0"/>
          <w:caps w:val="0"/>
          <w:color w:val="000000"/>
          <w:spacing w:val="0"/>
          <w:sz w:val="18"/>
          <w:szCs w:val="18"/>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i w:val="0"/>
          <w:iCs w:val="0"/>
          <w:caps w:val="0"/>
          <w:color w:val="000000"/>
          <w:spacing w:val="0"/>
          <w:sz w:val="18"/>
          <w:szCs w:val="18"/>
          <w:highlight w:val="none"/>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default" w:ascii="Arial" w:hAnsi="Arial" w:eastAsia="Arial" w:cs="Arial"/>
          <w:highlight w:val="none"/>
        </w:rPr>
      </w:pPr>
      <w:r>
        <w:rPr>
          <w:rFonts w:hint="eastAsia" w:ascii="黑体" w:hAnsi="宋体" w:eastAsia="黑体" w:cs="黑体"/>
          <w:i w:val="0"/>
          <w:iCs w:val="0"/>
          <w:caps w:val="0"/>
          <w:color w:val="000000"/>
          <w:spacing w:val="0"/>
          <w:sz w:val="72"/>
          <w:szCs w:val="72"/>
          <w:highlight w:val="none"/>
          <w:shd w:val="clear" w:fill="FFFFFF"/>
        </w:rPr>
        <w:t>第</w:t>
      </w:r>
      <w:r>
        <w:rPr>
          <w:rFonts w:hint="eastAsia" w:ascii="黑体" w:hAnsi="宋体" w:eastAsia="黑体" w:cs="黑体"/>
          <w:i w:val="0"/>
          <w:iCs w:val="0"/>
          <w:caps w:val="0"/>
          <w:color w:val="000000"/>
          <w:spacing w:val="0"/>
          <w:sz w:val="72"/>
          <w:szCs w:val="72"/>
          <w:highlight w:val="none"/>
          <w:shd w:val="clear" w:fill="FFFFFF"/>
          <w:lang w:eastAsia="zh-CN"/>
        </w:rPr>
        <w:t>四</w:t>
      </w:r>
      <w:r>
        <w:rPr>
          <w:rFonts w:hint="eastAsia" w:ascii="黑体" w:hAnsi="宋体" w:eastAsia="黑体" w:cs="黑体"/>
          <w:i w:val="0"/>
          <w:iCs w:val="0"/>
          <w:caps w:val="0"/>
          <w:color w:val="000000"/>
          <w:spacing w:val="0"/>
          <w:sz w:val="72"/>
          <w:szCs w:val="72"/>
          <w:highlight w:val="none"/>
          <w:shd w:val="clear" w:fill="FFFFFF"/>
        </w:rPr>
        <w:t>部分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highlight w:val="none"/>
        </w:rPr>
      </w:pPr>
      <w:r>
        <w:rPr>
          <w:rFonts w:hint="default" w:ascii="Arial" w:hAnsi="Arial" w:eastAsia="Arial" w:cs="Arial"/>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center"/>
        <w:outlineLvl w:val="0"/>
        <w:rPr>
          <w:rFonts w:ascii="Times New Roman" w:eastAsia="黑体"/>
          <w:b w:val="0"/>
          <w:sz w:val="44"/>
          <w:szCs w:val="44"/>
        </w:rPr>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pPr>
      <w:r>
        <w:rPr>
          <w:rFonts w:hint="eastAsia" w:ascii="黑体" w:hAnsi="宋体" w:eastAsia="黑体" w:cs="黑体"/>
          <w:i w:val="0"/>
          <w:iCs w:val="0"/>
          <w:caps w:val="0"/>
          <w:color w:val="000000"/>
          <w:spacing w:val="-20"/>
          <w:sz w:val="72"/>
          <w:szCs w:val="72"/>
          <w:highlight w:val="none"/>
          <w:shd w:val="clear" w:fill="FFFFFF"/>
        </w:rPr>
        <w:t>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200"/>
        <w:jc w:val="left"/>
        <w:textAlignment w:val="auto"/>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133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1CA63A7"/>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912459"/>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9A16B0"/>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232F40"/>
    <w:rsid w:val="6E3E63D2"/>
    <w:rsid w:val="6E5F7BE6"/>
    <w:rsid w:val="6E6918C6"/>
    <w:rsid w:val="6EEB4AC4"/>
    <w:rsid w:val="6F212DD6"/>
    <w:rsid w:val="6F3B5912"/>
    <w:rsid w:val="6F70714D"/>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BFABB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6"/>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rFonts w:ascii="仿宋_GB2312" w:hAnsi="仿宋_GB2312" w:eastAsia="仿宋_GB2312" w:cs="仿宋_GB2312"/>
      <w:sz w:val="32"/>
      <w:szCs w:val="32"/>
      <w:lang w:val="zh-CN" w:bidi="zh-CN"/>
    </w:rPr>
  </w:style>
  <w:style w:type="paragraph" w:styleId="8">
    <w:name w:val="Balloon Text"/>
    <w:basedOn w:val="1"/>
    <w:link w:val="25"/>
    <w:unhideWhenUsed/>
    <w:qFormat/>
    <w:uiPriority w:val="99"/>
    <w:rPr>
      <w:rFonts w:cstheme="minorBidi"/>
      <w:kern w:val="2"/>
      <w:sz w:val="18"/>
      <w:szCs w:val="18"/>
    </w:rPr>
  </w:style>
  <w:style w:type="paragraph" w:styleId="9">
    <w:name w:val="footer"/>
    <w:basedOn w:val="1"/>
    <w:link w:val="17"/>
    <w:qFormat/>
    <w:uiPriority w:val="99"/>
    <w:pPr>
      <w:tabs>
        <w:tab w:val="center" w:pos="4153"/>
        <w:tab w:val="right" w:pos="8306"/>
      </w:tabs>
      <w:snapToGrid w:val="0"/>
      <w:jc w:val="left"/>
    </w:pPr>
    <w:rPr>
      <w:rFonts w:cstheme="minorBidi"/>
      <w:kern w:val="2"/>
      <w:sz w:val="18"/>
      <w:szCs w:val="18"/>
    </w:rPr>
  </w:style>
  <w:style w:type="paragraph" w:styleId="10">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customStyle="1" w:styleId="16">
    <w:name w:val="标题 2 Char"/>
    <w:link w:val="3"/>
    <w:qFormat/>
    <w:uiPriority w:val="0"/>
    <w:rPr>
      <w:rFonts w:ascii="Calibri Light" w:hAnsi="Calibri Light" w:eastAsia="宋体" w:cs="Times New Roman"/>
      <w:b/>
      <w:bCs/>
      <w:sz w:val="28"/>
      <w:szCs w:val="32"/>
    </w:rPr>
  </w:style>
  <w:style w:type="character" w:customStyle="1" w:styleId="17">
    <w:name w:val="页脚 Char"/>
    <w:basedOn w:val="14"/>
    <w:link w:val="9"/>
    <w:qFormat/>
    <w:uiPriority w:val="99"/>
    <w:rPr>
      <w:rFonts w:asciiTheme="minorHAnsi" w:hAnsiTheme="minorHAnsi" w:eastAsiaTheme="minorEastAsia" w:cstheme="minorBidi"/>
      <w:sz w:val="18"/>
      <w:szCs w:val="18"/>
      <w:lang w:val="en-US" w:eastAsia="zh-CN" w:bidi="ar-SA"/>
    </w:rPr>
  </w:style>
  <w:style w:type="character" w:customStyle="1" w:styleId="18">
    <w:name w:val="页眉 Char"/>
    <w:basedOn w:val="14"/>
    <w:link w:val="10"/>
    <w:qFormat/>
    <w:uiPriority w:val="0"/>
    <w:rPr>
      <w:rFonts w:asciiTheme="minorHAnsi" w:hAnsiTheme="minorHAnsi" w:eastAsiaTheme="minorEastAsia" w:cstheme="minorBidi"/>
      <w:sz w:val="18"/>
      <w:szCs w:val="18"/>
      <w:lang w:val="en-US" w:eastAsia="zh-CN" w:bidi="ar-SA"/>
    </w:rPr>
  </w:style>
  <w:style w:type="character" w:customStyle="1" w:styleId="19">
    <w:name w:val="font11"/>
    <w:basedOn w:val="14"/>
    <w:qFormat/>
    <w:uiPriority w:val="0"/>
    <w:rPr>
      <w:rFonts w:hint="eastAsia" w:ascii="宋体" w:hAnsi="宋体" w:eastAsia="宋体" w:cs="宋体"/>
      <w:color w:val="000000"/>
      <w:sz w:val="20"/>
      <w:szCs w:val="20"/>
      <w:u w:val="none"/>
      <w:lang w:val="en-US" w:eastAsia="zh-CN" w:bidi="ar-SA"/>
    </w:rPr>
  </w:style>
  <w:style w:type="character" w:customStyle="1" w:styleId="20">
    <w:name w:val="font01"/>
    <w:basedOn w:val="14"/>
    <w:qFormat/>
    <w:uiPriority w:val="0"/>
    <w:rPr>
      <w:rFonts w:hint="eastAsia" w:ascii="宋体" w:hAnsi="宋体" w:eastAsia="宋体" w:cs="宋体"/>
      <w:color w:val="000000"/>
      <w:sz w:val="22"/>
      <w:szCs w:val="22"/>
      <w:u w:val="none"/>
      <w:lang w:val="en-US" w:eastAsia="zh-CN" w:bidi="ar-SA"/>
    </w:rPr>
  </w:style>
  <w:style w:type="character" w:customStyle="1" w:styleId="21">
    <w:name w:val="font41"/>
    <w:basedOn w:val="14"/>
    <w:qFormat/>
    <w:uiPriority w:val="0"/>
    <w:rPr>
      <w:rFonts w:hint="eastAsia" w:ascii="宋体" w:hAnsi="宋体" w:eastAsia="宋体" w:cs="宋体"/>
      <w:color w:val="000000"/>
      <w:sz w:val="24"/>
      <w:szCs w:val="24"/>
      <w:u w:val="none"/>
      <w:lang w:val="en-US" w:eastAsia="zh-CN" w:bidi="ar-SA"/>
    </w:rPr>
  </w:style>
  <w:style w:type="character" w:customStyle="1" w:styleId="22">
    <w:name w:val="font3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9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4">
    <w:name w:val="font51"/>
    <w:basedOn w:val="14"/>
    <w:qFormat/>
    <w:uiPriority w:val="0"/>
    <w:rPr>
      <w:rFonts w:hint="eastAsia" w:ascii="宋体" w:hAnsi="宋体" w:eastAsia="宋体" w:cs="宋体"/>
      <w:color w:val="000000"/>
      <w:sz w:val="24"/>
      <w:szCs w:val="24"/>
      <w:u w:val="none"/>
      <w:lang w:val="en-US" w:eastAsia="zh-CN" w:bidi="ar-SA"/>
    </w:rPr>
  </w:style>
  <w:style w:type="character" w:customStyle="1" w:styleId="25">
    <w:name w:val="批注框文本 Char"/>
    <w:basedOn w:val="14"/>
    <w:link w:val="8"/>
    <w:semiHidden/>
    <w:qFormat/>
    <w:uiPriority w:val="99"/>
    <w:rPr>
      <w:rFonts w:asciiTheme="minorHAnsi" w:hAnsiTheme="minorHAnsi" w:eastAsiaTheme="minorEastAsia" w:cstheme="minorBidi"/>
      <w:sz w:val="18"/>
      <w:szCs w:val="18"/>
      <w:lang w:val="en-US" w:eastAsia="zh-CN" w:bidi="ar-SA"/>
    </w:rPr>
  </w:style>
  <w:style w:type="paragraph" w:customStyle="1" w:styleId="26">
    <w:name w:val="p0"/>
    <w:basedOn w:val="1"/>
    <w:qFormat/>
    <w:uiPriority w:val="0"/>
    <w:pPr>
      <w:widowControl/>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14</c:v>
                </c:pt>
                <c:pt idx="1">
                  <c:v>16.21</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162079</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0</c:v>
                </c:pt>
                <c:pt idx="1">
                  <c:v>162079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14</c:v>
                </c:pt>
                <c:pt idx="1">
                  <c:v>14</c:v>
                </c:pt>
                <c:pt idx="2">
                  <c:v>14</c:v>
                </c:pt>
                <c:pt idx="3">
                  <c:v>14</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16.21</c:v>
                </c:pt>
                <c:pt idx="1">
                  <c:v>16.21</c:v>
                </c:pt>
                <c:pt idx="2">
                  <c:v>16.21</c:v>
                </c:pt>
                <c:pt idx="3">
                  <c:v>16.21</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18.27</c:v>
                </c:pt>
                <c:pt idx="1">
                  <c:v>18.27</c:v>
                </c:pt>
                <c:pt idx="2">
                  <c:v>18.27</c:v>
                </c:pt>
                <c:pt idx="3">
                  <c:v>18.27</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16.21</c:v>
                </c:pt>
                <c:pt idx="1">
                  <c:v>16.21</c:v>
                </c:pt>
                <c:pt idx="2">
                  <c:v>16.21</c:v>
                </c:pt>
                <c:pt idx="3">
                  <c:v>16.21</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0</c:v>
                </c:pt>
                <c:pt idx="8">
                  <c:v>0</c:v>
                </c:pt>
                <c:pt idx="9">
                  <c:v>16.21</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37</Pages>
  <Words>1238</Words>
  <Characters>1393</Characters>
  <Lines>86</Lines>
  <Paragraphs>24</Paragraphs>
  <TotalTime>0</TotalTime>
  <ScaleCrop>false</ScaleCrop>
  <LinksUpToDate>false</LinksUpToDate>
  <CharactersWithSpaces>1499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康爱芬</cp:lastModifiedBy>
  <cp:lastPrinted>2023-08-04T09:00:00Z</cp:lastPrinted>
  <dcterms:modified xsi:type="dcterms:W3CDTF">2025-09-24T16:13:08Z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eyJoZGlkIjoiZGJlNjFjMjk2MjE2NjM1YmYwOTg0MGI5NmY5MGNjNzIiLCJ1c2VySWQiOiIxNjM2NDA2ODIxIn0=</vt:lpwstr>
  </property>
</Properties>
</file>