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楷体_GB2312" w:hAnsi="楷体_GB2312" w:eastAsia="楷体_GB2312" w:cs="楷体_GB2312"/>
          <w:color w:val="000000"/>
          <w:sz w:val="40"/>
          <w:szCs w:val="40"/>
        </w:rPr>
      </w:pPr>
      <w:r>
        <w:drawing>
          <wp:anchor distT="0" distB="0" distL="114300" distR="114300" simplePos="0" relativeHeight="251659264" behindDoc="1" locked="0" layoutInCell="1" allowOverlap="1">
            <wp:simplePos x="0" y="0"/>
            <wp:positionH relativeFrom="column">
              <wp:posOffset>-1692910</wp:posOffset>
            </wp:positionH>
            <wp:positionV relativeFrom="paragraph">
              <wp:posOffset>-1319530</wp:posOffset>
            </wp:positionV>
            <wp:extent cx="8646795" cy="11107420"/>
            <wp:effectExtent l="0" t="0" r="1905" b="5080"/>
            <wp:wrapNone/>
            <wp:docPr id="15" name="图片 15" descr="7b0a202020202266696c746572223a202230220a7d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7b0a202020202266696c746572223a202230220a7d0a"/>
                    <pic:cNvPicPr>
                      <a:picLocks noChangeAspect="1"/>
                    </pic:cNvPicPr>
                  </pic:nvPicPr>
                  <pic:blipFill>
                    <a:blip r:embed="rId10">
                      <a:lum bright="6000"/>
                    </a:blip>
                    <a:srcRect t="559" b="3637"/>
                    <a:stretch>
                      <a:fillRect/>
                    </a:stretch>
                  </pic:blipFill>
                  <pic:spPr>
                    <a:xfrm>
                      <a:off x="0" y="0"/>
                      <a:ext cx="8646795" cy="11107420"/>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-546735</wp:posOffset>
                </wp:positionH>
                <wp:positionV relativeFrom="paragraph">
                  <wp:posOffset>253365</wp:posOffset>
                </wp:positionV>
                <wp:extent cx="6431280" cy="2862580"/>
                <wp:effectExtent l="0" t="0" r="0" b="0"/>
                <wp:wrapNone/>
                <wp:docPr id="1" name="文本框 1" descr="7b0a2020202022776f7264617274223a20227b5c2269645c223a32353030323136362c5c227469645c223a5c225c227d220a7d0a"/>
                <wp:cNvGraphicFramePr>
                  <a:extLst xmlns:a="http://schemas.openxmlformats.org/drawingml/2006/main">
                    <a:ext uri="{7FBC4E63-A832-4D11-8238-D91031DB1400}">
                      <s:tag xmlns="http://www.wps.cn/officeDocument/2013/wpsCustomData" xmlns:s="http://www.wps.cn/officeDocument/2013/wpsCustomData">
                        <s:item s:name="KSO_DOCER_RESOURCE_TRACE_INFO" s:val="{&quot;id&quot;:&quot;&quot;,&quot;origin&quot;:0,&quot;type&quot;:&quot;wordart&quot;,&quot;user&quot;:&quot;292216292&quot;}"/>
                      </s:tag>
                    </a:ext>
                  </a:extLst>
                </wp:cNvGraphicFramePr>
                <a:graphic xmlns:a="http://schemas.openxmlformats.org/drawingml/2006/main">
                  <a:graphicData uri="http://schemas.microsoft.com/office/word/2010/wordprocessingShape">
                    <wps:wsp>
                      <wps:cNvSpPr txBox="1"/>
                      <wps:spPr>
                        <a:xfrm>
                          <a:off x="0" y="0"/>
                          <a:ext cx="6431280" cy="2862580"/>
                        </a:xfrm>
                        <a:prstGeom prst="rect">
                          <a:avLst/>
                        </a:prstGeom>
                        <a:noFill/>
                        <a:ln>
                          <a:noFill/>
                        </a:ln>
                        <a:effectLst/>
                      </wps:spPr>
                      <wps:txb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wps:txbx>
                      <wps:bodyPr upright="1"/>
                    </wps:wsp>
                  </a:graphicData>
                </a:graphic>
              </wp:anchor>
            </w:drawing>
          </mc:Choice>
          <mc:Fallback>
            <w:pict>
              <v:shape id="_x0000_s1026" o:spid="_x0000_s1026" o:spt="202" alt="7b0a2020202022776f7264617274223a20227b5c2269645c223a32353030323136362c5c227469645c223a5c225c227d220a7d0a" type="#_x0000_t202" style="position:absolute;left:0pt;margin-left:-43.05pt;margin-top:19.95pt;height:225.4pt;width:506.4pt;z-index:251660288;mso-width-relative:page;mso-height-relative:page;" filled="f" stroked="f" coordsize="21600,21600" o:gfxdata="UEsFBgAAAAAAAAAAAAAAAAAAAAAAAFBLAwQKAAAAAACHTuJAAAAAAAAAAAAAAAAABAAAAGRycy9Q&#10;SwMEFAAAAAgAh07iQF2yz97YAAAACgEAAA8AAABkcnMvZG93bnJldi54bWxNj8tOwzAQRfdI/IM1&#10;SOxaO6WkdcikCxBbEOUhsXPjaRIRj6PYbcLfY1awHN2je8+Uu9n14kxj6DwjZEsFgrj2tuMG4e31&#10;cbEFEaJha3rPhPBNAXbV5UVpCusnfqHzPjYilXAoDEIb41BIGeqWnAlLPxCn7OhHZ2I6x0ba0Uyp&#10;3PVypVQunek4LbRmoPuW6q/9ySG8Px0/P9bquXlwt8PkZyXZaYl4fZWpOxCR5vgHw69+UocqOR38&#10;iW0QPcJim2cJRbjRGkQC9CrfgDggrLXagKxK+f+F6gdQSwMEFAAAAAgAh07iQKNa9/H2AQAAzgMA&#10;AA4AAABkcnMvZTJvRG9jLnhtbK1TzY6bMBC+V+o7WL43gCGQopCVqmh7qdpKu30AY0ywhH9kO4G8&#10;QPsGPfXSe58rz9Ex0Ox297KHlSXj+Wb8eb6ZYXszyh6duHVCqwonqxgjrphuhDpU+Nv97bsNRs5T&#10;1dBeK17hM3f4Zvf2zXYwJSe6033DLQIS5crBVLjz3pRR5FjHJXUrbbgCZ6utpB5Me4gaSwdgl31E&#10;4jiPBm0bYzXjzgG6n514YbQvIdRtKxjfa3aUXPmZ1fKeepDkOmEc3k3Zti1n/kvbOu5RX2FQ6qcd&#10;HoFzHfZot6XlwVLTCbakQF+SwhNNkgoFj16p9tRTdLTiGZUUzGqnW79iWkazkKkioCKJn9TmrqOG&#10;T1qg1M5ci+5ej5Z9Pn21SDQwCRgpKqHhl58/Lr/+XH5/RwA13DEoV1HHlMTLIkWRtwXJszwpSJER&#10;kgYfKeo1IyR/n2fhm9KUpOs0hkXSJM3TnLCAF9lDRLAnrCEkpkUT09CPwbgS0rozkJgfP+gx5Lbg&#10;DsBQ5rG1MnyhgAj80M3ztZt89IgBmGdpQjbgYuAjm5yswQCe6OG6sc5/5FqicKiwhXGZukhPn5yf&#10;Q/+FhNeUvhV9Dzgte/UfAJwzwqeZW24HJXPG4eTHelxk1Lo5g7qjseLQwcOTvigEQZunDJeRDHP0&#10;2Ibz499w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dss/e2AAAAAoBAAAPAAAAAAAAAAEAIAAA&#10;ADgAAABkcnMvZG93bnJldi54bWxQSwECFAAUAAAACACHTuJAo1r38fYBAADOAwAADgAAAAAAAAAB&#10;ACAAAAA9AQAAZHJzL2Uyb0RvYy54bWxQSwUGAAAAAAYABgBZAQAApQUAAAAA&#10;">
                <v:fill on="f" focussize="0,0"/>
                <v:stroke on="f"/>
                <v:imagedata o:title=""/>
                <o:lock v:ext="edit" aspectratio="f"/>
                <v:textbox>
                  <w:txbxContent>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2024年度</w:t>
                      </w:r>
                    </w:p>
                    <w:p>
                      <w:pPr>
                        <w:spacing w:line="1400" w:lineRule="exact"/>
                        <w:jc w:val="left"/>
                        <w:rPr>
                          <w:rFonts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pPr>
                      <w:r>
                        <w:rPr>
                          <w:rFonts w:hint="eastAsia" w:ascii="方正小标宋_GBK" w:hAnsi="方正小标宋_GBK" w:eastAsia="方正小标宋_GBK" w:cs="方正小标宋_GBK"/>
                          <w:b/>
                          <w:bCs/>
                          <w:color w:val="0D0D0D" w:themeColor="text1" w:themeTint="F2"/>
                          <w:sz w:val="112"/>
                          <w:szCs w:val="112"/>
                          <w14:textFill>
                            <w14:solidFill>
                              <w14:schemeClr w14:val="tx1">
                                <w14:lumMod w14:val="95000"/>
                                <w14:lumOff w14:val="5000"/>
                              </w14:schemeClr>
                            </w14:solidFill>
                          </w14:textFill>
                        </w:rPr>
                        <w:t>部门决算公开文本</w:t>
                      </w:r>
                    </w:p>
                  </w:txbxContent>
                </v:textbox>
              </v:shape>
            </w:pict>
          </mc:Fallback>
        </mc:AlternateContent>
      </w: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both"/>
        <w:rPr>
          <w:rFonts w:hint="eastAsia" w:ascii="楷体_GB2312" w:hAnsi="楷体_GB2312" w:eastAsia="楷体_GB2312" w:cs="楷体_GB2312"/>
          <w:color w:val="000000"/>
          <w:sz w:val="40"/>
          <w:szCs w:val="40"/>
        </w:rPr>
      </w:pP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467006</w:t>
      </w:r>
    </w:p>
    <w:p>
      <w:pPr>
        <w:spacing w:line="600" w:lineRule="auto"/>
        <w:jc w:val="left"/>
        <w:rPr>
          <w:rFonts w:hint="eastAsia"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：衡水市阜城县生态环境局</w:t>
      </w:r>
    </w:p>
    <w:p>
      <w:pPr>
        <w:spacing w:line="600" w:lineRule="auto"/>
        <w:jc w:val="both"/>
        <w:rPr>
          <w:rFonts w:hint="eastAsia" w:ascii="楷体_GB2312" w:hAnsi="楷体_GB2312" w:eastAsia="楷体_GB2312" w:cs="楷体_GB2312"/>
          <w:color w:val="000000"/>
          <w:sz w:val="40"/>
          <w:szCs w:val="40"/>
        </w:rPr>
        <w:sectPr>
          <w:footerReference r:id="rId3" w:type="default"/>
          <w:pgSz w:w="11906" w:h="16838"/>
          <w:pgMar w:top="2098" w:right="1417" w:bottom="1871" w:left="1417" w:header="851" w:footer="992" w:gutter="0"/>
          <w:pgBorders>
            <w:top w:val="none" w:sz="0" w:space="0"/>
            <w:left w:val="none" w:sz="0" w:space="0"/>
            <w:bottom w:val="none" w:sz="0" w:space="0"/>
            <w:right w:val="none" w:sz="0" w:space="0"/>
          </w:pgBorders>
          <w:cols w:space="720" w:num="1"/>
          <w:docGrid w:type="lines" w:linePitch="312" w:charSpace="0"/>
        </w:sectPr>
      </w:pPr>
    </w:p>
    <w:p>
      <w:pPr>
        <w:spacing w:line="600" w:lineRule="auto"/>
        <w:jc w:val="center"/>
        <w:rPr>
          <w:rFonts w:hint="eastAsia" w:ascii="楷体_GB2312" w:hAnsi="楷体_GB2312" w:eastAsia="楷体_GB2312" w:cs="楷体_GB2312"/>
          <w:color w:val="000000"/>
          <w:sz w:val="40"/>
          <w:szCs w:val="40"/>
        </w:rPr>
      </w:pPr>
    </w:p>
    <w:p>
      <w:pPr>
        <w:spacing w:line="600" w:lineRule="auto"/>
        <w:jc w:val="center"/>
        <w:rPr>
          <w:rFonts w:hint="eastAsia" w:ascii="楷体_GB2312" w:hAnsi="楷体_GB2312" w:eastAsia="楷体_GB2312" w:cs="楷体_GB2312"/>
          <w:color w:val="000000"/>
          <w:sz w:val="40"/>
          <w:szCs w:val="40"/>
        </w:rPr>
      </w:pPr>
    </w:p>
    <w:p>
      <w:pPr>
        <w:widowControl/>
        <w:spacing w:before="0" w:beforeLines="0" w:beforeAutospacing="0" w:after="0" w:afterLines="0" w:afterAutospacing="0" w:line="360" w:lineRule="auto"/>
        <w:jc w:val="center"/>
        <w:rPr>
          <w:rFonts w:ascii="Times New Roman" w:eastAsia="方正小标宋_GBK"/>
          <w:sz w:val="72"/>
          <w:szCs w:val="72"/>
        </w:rPr>
      </w:pPr>
      <w:r>
        <w:rPr>
          <w:rFonts w:ascii="Times New Roman" w:eastAsia="方正小标宋_GBK"/>
          <w:b w:val="0"/>
          <w:sz w:val="72"/>
          <w:szCs w:val="72"/>
        </w:rPr>
        <w:t>衡水市阜城县生态环境局</w:t>
      </w:r>
    </w:p>
    <w:p>
      <w:pPr>
        <w:widowControl/>
        <w:spacing w:before="0" w:beforeLines="0" w:beforeAutospacing="0" w:after="0" w:afterLines="0" w:afterAutospacing="0" w:line="360" w:lineRule="auto"/>
        <w:jc w:val="center"/>
        <w:rPr>
          <w:rFonts w:hint="eastAsia" w:ascii="黑体" w:hAnsi="黑体" w:eastAsia="黑体" w:cs="黑体"/>
          <w:sz w:val="72"/>
          <w:szCs w:val="72"/>
        </w:rPr>
      </w:pPr>
      <w:r>
        <w:rPr>
          <w:rFonts w:hint="eastAsia" w:ascii="黑体" w:hAnsi="黑体" w:eastAsia="黑体" w:cs="黑体"/>
          <w:b w:val="0"/>
          <w:sz w:val="72"/>
          <w:szCs w:val="72"/>
        </w:rPr>
        <w:t>2024年度</w:t>
      </w:r>
      <w:r>
        <w:rPr>
          <w:rFonts w:hint="eastAsia" w:ascii="黑体" w:hAnsi="黑体" w:eastAsia="黑体" w:cs="黑体"/>
          <w:b w:val="0"/>
          <w:sz w:val="72"/>
          <w:szCs w:val="72"/>
          <w:lang w:eastAsia="zh-CN"/>
        </w:rPr>
        <w:t>部门</w:t>
      </w:r>
      <w:r>
        <w:rPr>
          <w:rFonts w:hint="eastAsia" w:ascii="黑体" w:hAnsi="黑体" w:eastAsia="黑体" w:cs="黑体"/>
          <w:b w:val="0"/>
          <w:sz w:val="72"/>
          <w:szCs w:val="72"/>
        </w:rPr>
        <w:t>决算公开文本</w:t>
      </w:r>
    </w:p>
    <w:p>
      <w:pPr>
        <w:spacing w:line="36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600" w:lineRule="auto"/>
        <w:jc w:val="center"/>
        <w:rPr>
          <w:rFonts w:ascii="黑体" w:hAnsi="黑体" w:eastAsia="黑体" w:cs="黑体"/>
          <w:sz w:val="56"/>
          <w:szCs w:val="72"/>
        </w:rPr>
      </w:pPr>
    </w:p>
    <w:p>
      <w:pPr>
        <w:spacing w:line="480" w:lineRule="auto"/>
        <w:jc w:val="both"/>
        <w:rPr>
          <w:rFonts w:ascii="黑体" w:hAnsi="黑体" w:eastAsia="黑体" w:cs="黑体"/>
          <w:sz w:val="56"/>
          <w:szCs w:val="72"/>
        </w:rPr>
      </w:pPr>
    </w:p>
    <w:p>
      <w:pPr>
        <w:spacing w:line="480" w:lineRule="auto"/>
        <w:jc w:val="both"/>
        <w:rPr>
          <w:rFonts w:ascii="黑体" w:hAnsi="黑体" w:eastAsia="黑体" w:cs="黑体"/>
          <w:sz w:val="56"/>
          <w:szCs w:val="72"/>
        </w:rPr>
      </w:pPr>
    </w:p>
    <w:p>
      <w:pPr>
        <w:widowControl/>
        <w:spacing w:before="0" w:beforeLines="0" w:beforeAutospacing="0" w:after="0" w:afterLines="0" w:afterAutospacing="0" w:line="360" w:lineRule="auto"/>
        <w:jc w:val="center"/>
        <w:rPr>
          <w:rFonts w:ascii="Times New Roman" w:eastAsia="楷体_GB2312"/>
          <w:b w:val="0"/>
          <w:sz w:val="44"/>
          <w:szCs w:val="44"/>
        </w:rPr>
      </w:pPr>
      <w:r>
        <w:rPr>
          <w:rFonts w:ascii="Times New Roman" w:eastAsia="楷体_GB2312"/>
          <w:b w:val="0"/>
          <w:sz w:val="44"/>
          <w:szCs w:val="44"/>
        </w:rPr>
        <w:t>衡水市阜城县生态环境局</w:t>
      </w:r>
    </w:p>
    <w:p>
      <w:pPr>
        <w:widowControl/>
        <w:spacing w:before="0" w:beforeLines="0" w:beforeAutospacing="0" w:after="0" w:afterLines="0" w:afterAutospacing="0" w:line="360" w:lineRule="auto"/>
        <w:jc w:val="center"/>
        <w:rPr>
          <w:rFonts w:ascii="Times New Roman" w:eastAsia="楷体_GB2312"/>
          <w:sz w:val="44"/>
          <w:szCs w:val="44"/>
        </w:rPr>
      </w:pPr>
      <w:r>
        <w:rPr>
          <w:rFonts w:ascii="Times New Roman" w:eastAsia="楷体_GB2312"/>
          <w:b w:val="0"/>
          <w:sz w:val="44"/>
          <w:szCs w:val="44"/>
        </w:rPr>
        <w:t>二〇二五年</w:t>
      </w:r>
      <w:r>
        <w:rPr>
          <w:rFonts w:hint="eastAsia" w:ascii="Times New Roman" w:eastAsia="楷体_GB2312"/>
          <w:b w:val="0"/>
          <w:sz w:val="44"/>
          <w:szCs w:val="44"/>
          <w:lang w:eastAsia="zh-CN"/>
        </w:rPr>
        <w:t>十</w:t>
      </w:r>
      <w:r>
        <w:rPr>
          <w:rFonts w:ascii="Times New Roman" w:eastAsia="楷体_GB2312"/>
          <w:b w:val="0"/>
          <w:sz w:val="44"/>
          <w:szCs w:val="44"/>
        </w:rPr>
        <w:t>月</w:t>
      </w:r>
    </w:p>
    <w:p>
      <w:pPr>
        <w:snapToGrid w:val="0"/>
        <w:jc w:val="left"/>
        <w:rPr>
          <w:rFonts w:hint="eastAsia" w:ascii="楷体_GB2312" w:hAnsi="楷体_GB2312" w:eastAsia="楷体_GB2312" w:cs="楷体_GB2312"/>
          <w:color w:val="000000" w:themeColor="text1"/>
          <w:kern w:val="0"/>
          <w:sz w:val="44"/>
          <w:szCs w:val="44"/>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pPr>
        <w:widowControl/>
        <w:spacing w:before="0" w:beforeLines="0" w:beforeAutospacing="0" w:after="0" w:afterLines="0" w:afterAutospacing="0" w:line="360" w:lineRule="auto"/>
        <w:jc w:val="center"/>
        <w:outlineLvl w:val="0"/>
        <w:rPr>
          <w:rFonts w:ascii="Times New Roman" w:eastAsia="黑体"/>
          <w:b w:val="0"/>
          <w:sz w:val="44"/>
          <w:szCs w:val="44"/>
        </w:rPr>
      </w:pPr>
    </w:p>
    <w:p>
      <w:pPr>
        <w:widowControl/>
        <w:spacing w:before="0" w:beforeLines="0" w:beforeAutospacing="0" w:after="0" w:afterLines="0" w:afterAutospacing="0" w:line="360" w:lineRule="auto"/>
        <w:jc w:val="center"/>
        <w:outlineLvl w:val="0"/>
        <w:rPr>
          <w:rFonts w:ascii="Times New Roman" w:eastAsia="黑体"/>
          <w:b w:val="0"/>
          <w:sz w:val="44"/>
          <w:szCs w:val="44"/>
        </w:r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目录</w:t>
      </w:r>
    </w:p>
    <w:p>
      <w:pPr>
        <w:widowControl/>
        <w:spacing w:after="160" w:line="580" w:lineRule="exact"/>
        <w:ind w:firstLine="640" w:firstLineChars="200"/>
        <w:rPr>
          <w:rFonts w:ascii="Times New Roman" w:hAnsi="Times New Roman" w:eastAsia="黑体" w:cs="Times New Roman"/>
          <w:sz w:val="32"/>
          <w:szCs w:val="32"/>
        </w:rPr>
      </w:pP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第一部分单位概况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一、单位职责</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二、机构设置</w:t>
      </w:r>
    </w:p>
    <w:p>
      <w:pPr>
        <w:widowControl/>
        <w:spacing w:before="0" w:beforeLines="0" w:beforeAutospacing="0" w:after="0" w:afterLines="0" w:afterAutospacing="0" w:line="360" w:lineRule="auto"/>
        <w:jc w:val="left"/>
        <w:outlineLvl w:val="0"/>
        <w:rPr>
          <w:rFonts w:ascii="Times New Roman" w:eastAsia="黑体"/>
          <w:sz w:val="32"/>
          <w:szCs w:val="32"/>
        </w:rPr>
      </w:pPr>
      <w:r>
        <w:rPr>
          <w:rFonts w:ascii="Times New Roman" w:eastAsia="黑体"/>
          <w:b w:val="0"/>
          <w:sz w:val="32"/>
          <w:szCs w:val="32"/>
        </w:rPr>
        <w:t>第二部分2024年度部门决算报表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五、一般公共预算财政拨款支出决算表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六、一般公共预算财政拨款基本支出决算明细表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七、政府性基金预算财政拨款收入支出决算表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八、国有资本经营预算财政拨款支出决算表</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九、财政拨款“三公”经费支出决算表</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第三部分2024年度部门决算情况说明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四、财政拨款收入支出决算总体情况说明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五、财政拨款“三公”经费支出决算情况说明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九、关于2024年度绩效评价情况的说明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十、其他需要说明的情况</w:t>
      </w:r>
    </w:p>
    <w:p>
      <w:pPr>
        <w:widowControl/>
        <w:spacing w:before="0" w:beforeLines="0" w:beforeAutospacing="0" w:after="0" w:afterLines="0" w:afterAutospacing="0" w:line="360" w:lineRule="auto"/>
        <w:jc w:val="left"/>
        <w:rPr>
          <w:rFonts w:ascii="Times New Roman" w:eastAsia="黑体"/>
          <w:sz w:val="32"/>
          <w:szCs w:val="32"/>
        </w:rPr>
      </w:pPr>
      <w:r>
        <w:rPr>
          <w:rFonts w:ascii="Times New Roman" w:eastAsia="黑体"/>
          <w:b w:val="0"/>
          <w:sz w:val="32"/>
          <w:szCs w:val="32"/>
        </w:rPr>
        <w:t>第四部分名词解释</w:t>
      </w:r>
    </w:p>
    <w:p>
      <w:pPr>
        <w:widowControl/>
        <w:spacing w:after="160" w:line="580" w:lineRule="exact"/>
        <w:rPr>
          <w:rFonts w:hint="eastAsia" w:ascii="Times New Roman" w:hAnsi="Times New Roman" w:eastAsia="黑体" w:cs="Times New Roman"/>
          <w:sz w:val="32"/>
          <w:szCs w:val="32"/>
          <w:lang w:val="en-US" w:eastAsia="zh-CN"/>
        </w:rPr>
        <w:sectPr>
          <w:headerReference r:id="rId5" w:type="first"/>
          <w:footerReference r:id="rId7" w:type="first"/>
          <w:headerReference r:id="rId4" w:type="default"/>
          <w:footerReference r:id="rId6" w:type="default"/>
          <w:pgSz w:w="11906" w:h="16838"/>
          <w:pgMar w:top="1474" w:right="1531" w:bottom="1474" w:left="1531" w:header="851" w:footer="992" w:gutter="0"/>
          <w:pgBorders>
            <w:top w:val="none" w:sz="0" w:space="0"/>
            <w:left w:val="none" w:sz="0" w:space="0"/>
            <w:bottom w:val="none" w:sz="0" w:space="0"/>
            <w:right w:val="none" w:sz="0" w:space="0"/>
          </w:pgBorders>
          <w:cols w:space="0" w:num="1"/>
          <w:titlePg/>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第一部分单位概况</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一、单位职责</w:t>
      </w:r>
    </w:p>
    <w:p>
      <w:pPr>
        <w:widowControl/>
        <w:spacing w:before="0" w:beforeLines="0" w:beforeAutospacing="0" w:after="0" w:afterLines="0" w:afterAutospacing="0" w:line="360" w:lineRule="auto"/>
        <w:ind w:firstLine="640" w:firstLineChars="200"/>
        <w:jc w:val="left"/>
        <w:rPr>
          <w:rFonts w:hint="eastAsia" w:ascii="Times New Roman" w:eastAsia="仿宋_GB2312" w:cs="宋体"/>
          <w:b w:val="0"/>
          <w:sz w:val="32"/>
          <w:szCs w:val="32"/>
          <w:rtl w:val="0"/>
          <w:lang w:val="en-US" w:eastAsia="zh-CN"/>
        </w:rPr>
      </w:pPr>
      <w:r>
        <w:rPr>
          <w:rFonts w:ascii="Times New Roman" w:eastAsia="仿宋_GB2312" w:cs="宋体"/>
          <w:b w:val="0"/>
          <w:sz w:val="32"/>
          <w:szCs w:val="32"/>
          <w:rtl w:val="0"/>
          <w:lang w:val="en-US" w:eastAsia="zh-CN"/>
        </w:rPr>
        <w:t>负责建立健全全县生态环境保护制度。负责全县重大生态环</w:t>
      </w:r>
      <w:r>
        <w:rPr>
          <w:rFonts w:hint="eastAsia" w:ascii="Times New Roman" w:eastAsia="仿宋_GB2312" w:cs="宋体"/>
          <w:b w:val="0"/>
          <w:sz w:val="32"/>
          <w:szCs w:val="32"/>
          <w:rtl w:val="0"/>
          <w:lang w:val="en-US" w:eastAsia="zh-CN"/>
        </w:rPr>
        <w:t>境问题的统筹协调和监督管理。负责监督管理并完成全县减排目标。负责提出生态环境领域固定资产投资支持方向、县级财政性补助资金安排的意见，配合有关部门做好生态环境领域固定资产投资项目的组织实施和监督工作。参与指导推动全县循环经济和生态环保产业发展。负责全县环境污染防治的监督管理。制定全县大气、水、土壤、 噪声、光、恶臭、固体废物、化学品、机动车等污染防治管理制度并监督实施。指导协调和监督全县生态保护修复工作。负责全县核与辐射安全的监督管理。负责全县生态环境准入的监督管理。负责全县生态环境监测工作。负责全县应对气候变化工作。督导乡镇和县有关部门落实中央和省委、省政府生态 环境保护督察反馈问题整改工作。承担县生态环境保护督察整改工作领导小组办公室日常工作，负责生态环境保护督察整改的组织、协调、督促、指导等工作。统一负责全县生态环境监督执法。牵头协调疫情防控期间生态环境保护支持保障工作，指导环境监测尤其是疫情地区饮用水水源地、空气环境应急监测，按职责指导做好医疗废物、医疗污水收集、转运、处理、处置过程中的环境污染防治工作。组织指导和协调全县生态环境宣传教育工作，制定并组织实施县生态环境保护宣传教育纲要，推动社会组织和公众参与生态环境保护。</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二、机构设置</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从决算编报单位构成看，纳入2024年度本</w:t>
      </w:r>
      <w:r>
        <w:rPr>
          <w:rFonts w:hint="eastAsia" w:ascii="Times New Roman" w:eastAsia="仿宋_GB2312"/>
          <w:b w:val="0"/>
          <w:sz w:val="32"/>
          <w:szCs w:val="32"/>
          <w:lang w:eastAsia="zh-CN"/>
        </w:rPr>
        <w:t>单位</w:t>
      </w:r>
      <w:r>
        <w:rPr>
          <w:rFonts w:ascii="Times New Roman" w:eastAsia="仿宋_GB2312"/>
          <w:b w:val="0"/>
          <w:sz w:val="32"/>
          <w:szCs w:val="32"/>
        </w:rPr>
        <w:t>决算汇编范围的独立核算单位（以下简称“单位”）共</w:t>
      </w:r>
      <w:r>
        <w:rPr>
          <w:rFonts w:hint="eastAsia" w:ascii="Times New Roman" w:eastAsia="仿宋_GB2312"/>
          <w:b w:val="0"/>
          <w:sz w:val="32"/>
          <w:szCs w:val="32"/>
          <w:lang w:val="en-US" w:eastAsia="zh-CN"/>
        </w:rPr>
        <w:t>1</w:t>
      </w:r>
      <w:r>
        <w:rPr>
          <w:rFonts w:ascii="Times New Roman" w:eastAsia="仿宋_GB2312"/>
          <w:b w:val="0"/>
          <w:sz w:val="32"/>
          <w:szCs w:val="32"/>
        </w:rPr>
        <w:t>个，具体情况如下：</w:t>
      </w:r>
    </w:p>
    <w:tbl>
      <w:tblPr>
        <w:tblStyle w:val="11"/>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1</w:t>
            </w:r>
          </w:p>
        </w:tc>
        <w:tc>
          <w:tcPr>
            <w:tcW w:w="348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衡水市阜城县生态环境局</w:t>
            </w:r>
          </w:p>
        </w:tc>
        <w:tc>
          <w:tcPr>
            <w:tcW w:w="2445"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2665" w:type="dxa"/>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全额</w:t>
            </w:r>
          </w:p>
        </w:tc>
      </w:tr>
    </w:tbl>
    <w:p>
      <w:pPr>
        <w:ind w:firstLine="880" w:firstLineChars="200"/>
        <w:rPr>
          <w:rFonts w:ascii="Times New Roman" w:eastAsia="黑体"/>
          <w:b w:val="0"/>
          <w:sz w:val="44"/>
          <w:szCs w:val="44"/>
        </w:rPr>
      </w:pPr>
    </w:p>
    <w:p>
      <w:pPr>
        <w:ind w:firstLine="880" w:firstLineChars="200"/>
        <w:rPr>
          <w:rFonts w:ascii="Times New Roman" w:eastAsia="黑体"/>
          <w:b w:val="0"/>
          <w:sz w:val="44"/>
          <w:szCs w:val="44"/>
        </w:rPr>
      </w:pPr>
    </w:p>
    <w:p>
      <w:pPr>
        <w:ind w:firstLine="880" w:firstLineChars="200"/>
        <w:rPr>
          <w:rFonts w:ascii="Times New Roman" w:eastAsia="黑体"/>
          <w:b w:val="0"/>
          <w:sz w:val="44"/>
          <w:szCs w:val="44"/>
        </w:rPr>
      </w:pPr>
      <w:r>
        <w:rPr>
          <w:rFonts w:ascii="Times New Roman" w:eastAsia="黑体"/>
          <w:b w:val="0"/>
          <w:sz w:val="44"/>
          <w:szCs w:val="44"/>
        </w:rPr>
        <w:t>第二部分</w:t>
      </w:r>
      <w:r>
        <w:rPr>
          <w:rFonts w:ascii="Times New Roman" w:eastAsia="仿宋_GB2312"/>
          <w:b w:val="0"/>
          <w:sz w:val="44"/>
          <w:szCs w:val="44"/>
        </w:rPr>
        <w:t>2024</w:t>
      </w:r>
      <w:r>
        <w:rPr>
          <w:rFonts w:ascii="Times New Roman" w:eastAsia="黑体"/>
          <w:b w:val="0"/>
          <w:sz w:val="44"/>
          <w:szCs w:val="44"/>
        </w:rPr>
        <w:t>年度部门决算表</w:t>
      </w:r>
    </w:p>
    <w:p>
      <w:pPr>
        <w:ind w:firstLine="880" w:firstLineChars="200"/>
        <w:rPr>
          <w:rFonts w:ascii="Times New Roman" w:eastAsia="黑体"/>
          <w:b w:val="0"/>
          <w:sz w:val="44"/>
          <w:szCs w:val="44"/>
        </w:rPr>
      </w:pPr>
    </w:p>
    <w:tbl>
      <w:tblPr>
        <w:tblStyle w:val="11"/>
        <w:tblW w:w="6890" w:type="pct"/>
        <w:tblInd w:w="-18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0"/>
        <w:gridCol w:w="600"/>
        <w:gridCol w:w="311"/>
        <w:gridCol w:w="1252"/>
        <w:gridCol w:w="1544"/>
        <w:gridCol w:w="1813"/>
        <w:gridCol w:w="825"/>
        <w:gridCol w:w="1261"/>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4984" w:type="pct"/>
            <w:gridSpan w:val="8"/>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4984" w:type="pct"/>
            <w:gridSpan w:val="8"/>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公开</w:t>
            </w:r>
            <w:r>
              <w:rPr>
                <w:rFonts w:hint="eastAsia" w:ascii="Times New Roman" w:hAnsi="Times New Roman" w:eastAsia="宋体" w:cs="Times New Roman"/>
                <w:i w:val="0"/>
                <w:iCs w:val="0"/>
                <w:color w:val="000000"/>
                <w:sz w:val="20"/>
                <w:szCs w:val="20"/>
                <w:highlight w:val="none"/>
                <w:u w:val="none"/>
                <w:lang w:val="en-US" w:eastAsia="zh-CN"/>
              </w:rPr>
              <w:t>01</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963" w:type="pct"/>
            <w:gridSpan w:val="3"/>
            <w:tcBorders>
              <w:top w:val="nil"/>
              <w:left w:val="nil"/>
              <w:bottom w:val="single" w:color="auto" w:sz="4" w:space="0"/>
              <w:right w:val="nil"/>
            </w:tcBorders>
            <w:noWrap/>
            <w:vAlign w:val="bottom"/>
          </w:tcPr>
          <w:p>
            <w:pPr>
              <w:jc w:val="both"/>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单位：衡水市阜城县生态环境局</w:t>
            </w:r>
          </w:p>
        </w:tc>
        <w:tc>
          <w:tcPr>
            <w:tcW w:w="1261" w:type="pct"/>
            <w:gridSpan w:val="2"/>
            <w:tcBorders>
              <w:top w:val="nil"/>
              <w:left w:val="nil"/>
              <w:bottom w:val="single" w:color="auto" w:sz="4" w:space="0"/>
              <w:right w:val="nil"/>
            </w:tcBorders>
            <w:noWrap/>
            <w:vAlign w:val="bottom"/>
          </w:tcPr>
          <w:p>
            <w:pPr>
              <w:jc w:val="center"/>
              <w:rPr>
                <w:rFonts w:hint="default" w:ascii="宋体" w:hAnsi="宋体" w:eastAsia="宋体" w:cs="宋体"/>
                <w:i w:val="0"/>
                <w:iCs w:val="0"/>
                <w:color w:val="000000"/>
                <w:kern w:val="0"/>
                <w:sz w:val="20"/>
                <w:szCs w:val="20"/>
                <w:highlight w:val="none"/>
                <w:u w:val="none"/>
                <w:lang w:val="en-US" w:eastAsia="zh-CN" w:bidi="ar"/>
              </w:rPr>
            </w:pPr>
            <w:r>
              <w:rPr>
                <w:rFonts w:hint="eastAsia" w:ascii="Times New Roman" w:hAnsi="Times New Roman" w:eastAsia="宋体" w:cs="Times New Roman"/>
                <w:i w:val="0"/>
                <w:iCs w:val="0"/>
                <w:color w:val="000000"/>
                <w:sz w:val="20"/>
                <w:szCs w:val="20"/>
                <w:highlight w:val="none"/>
                <w:u w:val="none"/>
                <w:lang w:val="en-US" w:eastAsia="zh-CN"/>
              </w:rPr>
              <w:t>2024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59" w:type="pct"/>
            <w:gridSpan w:val="3"/>
            <w:tcBorders>
              <w:top w:val="nil"/>
              <w:left w:val="nil"/>
              <w:bottom w:val="single" w:color="auto" w:sz="4" w:space="0"/>
              <w:right w:val="nil"/>
            </w:tcBorders>
            <w:noWrap/>
            <w:vAlign w:val="bottom"/>
          </w:tcPr>
          <w:p>
            <w:pPr>
              <w:jc w:val="right"/>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2528" w:type="pct"/>
            <w:gridSpan w:val="4"/>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收入</w:t>
            </w:r>
          </w:p>
        </w:tc>
        <w:tc>
          <w:tcPr>
            <w:tcW w:w="2456" w:type="pct"/>
            <w:gridSpan w:val="4"/>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70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270"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70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1</w:t>
            </w: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372"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6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Times New Roman" w:hAnsi="Times New Roman" w:eastAsia="宋体" w:cs="Times New Roman"/>
                <w:i w:val="0"/>
                <w:iCs w:val="0"/>
                <w:color w:val="000000"/>
                <w:sz w:val="20"/>
                <w:szCs w:val="20"/>
                <w:highlight w:val="none"/>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宋体" w:hAnsi="宋体" w:eastAsia="宋体" w:cs="宋体"/>
                <w:i w:val="0"/>
                <w:iCs w:val="0"/>
                <w:color w:val="000000"/>
                <w:sz w:val="20"/>
                <w:szCs w:val="20"/>
                <w:highlight w:val="none"/>
                <w:u w:val="none"/>
                <w:lang w:val="en-US" w:eastAsia="zh-CN"/>
              </w:rPr>
              <w:t>1</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四、上级补助收入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五、事业收入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六、经营收入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七、附属单位上缴收入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八、其他收入</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40</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705"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372"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6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70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70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70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70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70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50</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70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6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705"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372"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6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使用非财政拨款结余（含专用结余）</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结余分配</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eastAsia="zh-CN"/>
              </w:rPr>
            </w:pPr>
            <w:r>
              <w:rPr>
                <w:rFonts w:hint="default" w:ascii="Times New Roman" w:hAnsi="Times New Roman" w:eastAsia="宋体" w:cs="Times New Roman"/>
                <w:i w:val="0"/>
                <w:iCs w:val="0"/>
                <w:color w:val="000000"/>
                <w:sz w:val="20"/>
                <w:szCs w:val="20"/>
                <w:highlight w:val="none"/>
                <w:u w:val="none"/>
                <w:lang w:val="en-US" w:eastAsia="zh-CN"/>
              </w:rPr>
              <w:t>60</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pP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 w:type="pct"/>
          <w:trHeight w:val="90" w:hRule="atLeast"/>
        </w:trPr>
        <w:tc>
          <w:tcPr>
            <w:tcW w:w="1552"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7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705"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151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37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6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注：1.本表反映部门本年度的总收支和年末结转结余情况。</w:t>
            </w:r>
          </w:p>
          <w:p>
            <w:pPr>
              <w:keepNext w:val="0"/>
              <w:keepLines w:val="0"/>
              <w:widowControl/>
              <w:suppressLineNumbers w:val="0"/>
              <w:ind w:firstLine="400" w:firstLineChars="20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2.本套报表金额转换时可能存在尾数误差。</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92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3"/>
        <w:gridCol w:w="1355"/>
        <w:gridCol w:w="1215"/>
        <w:gridCol w:w="465"/>
        <w:gridCol w:w="209"/>
        <w:gridCol w:w="1040"/>
        <w:gridCol w:w="967"/>
        <w:gridCol w:w="967"/>
        <w:gridCol w:w="1030"/>
        <w:gridCol w:w="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60" w:type="dxa"/>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eastAsia" w:ascii="Times New Roman" w:hAnsi="Times New Roman" w:eastAsia="宋体" w:cs="Times New Roman"/>
                <w:i w:val="0"/>
                <w:iCs w:val="0"/>
                <w:color w:val="000000"/>
                <w:sz w:val="20"/>
                <w:szCs w:val="20"/>
                <w:highlight w:val="none"/>
                <w:u w:val="none"/>
                <w:lang w:val="en-US" w:eastAsia="zh-CN"/>
              </w:rPr>
              <w:t>02</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078" w:type="dxa"/>
            <w:gridSpan w:val="4"/>
            <w:tcBorders>
              <w:top w:val="nil"/>
              <w:left w:val="nil"/>
              <w:bottom w:val="single" w:color="auto" w:sz="4" w:space="0"/>
              <w:right w:val="nil"/>
            </w:tcBorders>
            <w:noWrap/>
            <w:vAlign w:val="bottom"/>
          </w:tcPr>
          <w:p>
            <w:pP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单位：衡水市阜城县生态环境局                                                                                                         </w:t>
            </w:r>
          </w:p>
        </w:tc>
        <w:tc>
          <w:tcPr>
            <w:tcW w:w="2216" w:type="dxa"/>
            <w:gridSpan w:val="3"/>
            <w:tcBorders>
              <w:top w:val="nil"/>
              <w:left w:val="nil"/>
              <w:bottom w:val="single" w:color="auto" w:sz="4" w:space="0"/>
              <w:right w:val="nil"/>
            </w:tcBorders>
            <w:noWrap/>
            <w:vAlign w:val="bottom"/>
          </w:tcPr>
          <w:p>
            <w:pPr>
              <w:jc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default" w:ascii="Times New Roman" w:hAnsi="Times New Roman" w:eastAsia="方正仿宋_GB2312" w:cs="Times New Roman"/>
                <w:i w:val="0"/>
                <w:iCs w:val="0"/>
                <w:color w:val="000000"/>
                <w:sz w:val="20"/>
                <w:szCs w:val="20"/>
                <w:highlight w:val="none"/>
                <w:u w:val="none"/>
                <w:lang w:val="en-US" w:eastAsia="zh-CN"/>
              </w:rPr>
              <w:t>202</w:t>
            </w:r>
            <w:r>
              <w:rPr>
                <w:rFonts w:hint="eastAsia" w:ascii="Times New Roman" w:hAnsi="Times New Roman" w:eastAsia="方正仿宋_GB2312" w:cs="Times New Roman"/>
                <w:i w:val="0"/>
                <w:iCs w:val="0"/>
                <w:color w:val="000000"/>
                <w:sz w:val="20"/>
                <w:szCs w:val="20"/>
                <w:highlight w:val="none"/>
                <w:u w:val="none"/>
                <w:lang w:val="en-US" w:eastAsia="zh-CN"/>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2966" w:type="dxa"/>
            <w:gridSpan w:val="3"/>
            <w:tcBorders>
              <w:top w:val="nil"/>
              <w:left w:val="nil"/>
              <w:bottom w:val="single" w:color="auto" w:sz="4" w:space="0"/>
              <w:right w:val="nil"/>
            </w:tcBorders>
            <w:noWrap/>
            <w:vAlign w:val="bottom"/>
          </w:tcPr>
          <w:p>
            <w:pPr>
              <w:jc w:val="right"/>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1215"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本年收入合计</w:t>
            </w:r>
          </w:p>
        </w:tc>
        <w:tc>
          <w:tcPr>
            <w:tcW w:w="674" w:type="dxa"/>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财政拨款收入</w:t>
            </w:r>
          </w:p>
        </w:tc>
        <w:tc>
          <w:tcPr>
            <w:tcW w:w="1040"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上级补助收入</w:t>
            </w:r>
          </w:p>
        </w:tc>
        <w:tc>
          <w:tcPr>
            <w:tcW w:w="967" w:type="dxa"/>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事业收入</w:t>
            </w:r>
          </w:p>
        </w:tc>
        <w:tc>
          <w:tcPr>
            <w:tcW w:w="967"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经营收入</w:t>
            </w:r>
          </w:p>
        </w:tc>
        <w:tc>
          <w:tcPr>
            <w:tcW w:w="1030"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附属单位上缴收入</w:t>
            </w:r>
          </w:p>
        </w:tc>
        <w:tc>
          <w:tcPr>
            <w:tcW w:w="969" w:type="dxa"/>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355"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7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7" w:type="dxa"/>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55"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7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7" w:type="dxa"/>
            <w:vMerge w:val="continue"/>
            <w:tcBorders>
              <w:left w:val="nil"/>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4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355" w:type="dxa"/>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2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74" w:type="dxa"/>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7" w:type="dxa"/>
            <w:vMerge w:val="continue"/>
            <w:tcBorders>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03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96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2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74" w:type="dxa"/>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0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9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w:t>
            </w:r>
          </w:p>
        </w:tc>
        <w:tc>
          <w:tcPr>
            <w:tcW w:w="96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03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96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39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482.74</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rPr>
              <w:t>482.74</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社会保障和就业支出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43.78</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43.78</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行政事业单位养老支出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43.78</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43.78</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行政单位离退休</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29.06</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29.06</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2080505</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机关事业单位基本养老保险缴费支出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14.72</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14.72</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卫生健康支出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6.24</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6.24</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行政事业单位医疗</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6.24</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6.24</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2101101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行政单位医疗</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6.24</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6.24</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节能环保支出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420.25</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420.25</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环境保护管理事务</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420.25</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420.25</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2110101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行政运行</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369.49</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369.49</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2110199</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其他环境保护管理事务支出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50.76</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50.76</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住房保障支出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12.47</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12.47</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住房改革支出</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12.47</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12.47</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43" w:type="dxa"/>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2210201</w:t>
            </w:r>
          </w:p>
        </w:tc>
        <w:tc>
          <w:tcPr>
            <w:tcW w:w="1355" w:type="dxa"/>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kern w:val="0"/>
                <w:sz w:val="20"/>
                <w:szCs w:val="20"/>
                <w:highlight w:val="none"/>
                <w:u w:val="none"/>
                <w:lang w:val="en-US" w:eastAsia="zh-CN" w:bidi="ar-SA"/>
              </w:rPr>
            </w:pPr>
            <w:r>
              <w:rPr>
                <w:rFonts w:hint="eastAsia" w:ascii="方正仿宋_GB2312" w:hAnsi="方正仿宋_GB2312" w:eastAsia="方正仿宋_GB2312" w:cs="方正仿宋_GB2312"/>
                <w:spacing w:val="-2"/>
                <w:sz w:val="20"/>
                <w:szCs w:val="20"/>
                <w:lang w:val="en-US" w:eastAsia="zh-CN"/>
              </w:rPr>
              <w:t>住房公积金</w:t>
            </w:r>
          </w:p>
        </w:tc>
        <w:tc>
          <w:tcPr>
            <w:tcW w:w="1215"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12.47</w:t>
            </w:r>
          </w:p>
        </w:tc>
        <w:tc>
          <w:tcPr>
            <w:tcW w:w="674" w:type="dxa"/>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r>
              <w:rPr>
                <w:rFonts w:hint="default" w:ascii="Times New Roman" w:hAnsi="Times New Roman" w:eastAsia="宋体" w:cs="Times New Roman"/>
                <w:spacing w:val="-2"/>
                <w:sz w:val="20"/>
                <w:szCs w:val="20"/>
                <w:lang w:val="en-US" w:eastAsia="zh-CN"/>
              </w:rPr>
              <w:t>12.47</w:t>
            </w:r>
          </w:p>
        </w:tc>
        <w:tc>
          <w:tcPr>
            <w:tcW w:w="104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7"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1030"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c>
          <w:tcPr>
            <w:tcW w:w="969" w:type="dxa"/>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kern w:val="0"/>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60"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注：本表反映部门本年度取得的各项收入情况。</w:t>
            </w:r>
          </w:p>
        </w:tc>
      </w:tr>
    </w:tbl>
    <w:p>
      <w:pPr>
        <w:rPr>
          <w:rFonts w:hint="eastAsia" w:ascii="黑体" w:hAnsi="黑体" w:eastAsia="黑体" w:cs="宋体"/>
          <w:bCs/>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6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1150"/>
        <w:gridCol w:w="1093"/>
        <w:gridCol w:w="467"/>
        <w:gridCol w:w="624"/>
        <w:gridCol w:w="1091"/>
        <w:gridCol w:w="483"/>
        <w:gridCol w:w="608"/>
        <w:gridCol w:w="1091"/>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10"/>
            <w:tcBorders>
              <w:top w:val="nil"/>
              <w:left w:val="nil"/>
              <w:bottom w:val="nil"/>
              <w:right w:val="nil"/>
            </w:tcBorders>
            <w:noWrap/>
            <w:vAlign w:val="bottom"/>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1"/>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br w:type="page"/>
            </w:r>
            <w:r>
              <w:rPr>
                <w:rFonts w:hint="eastAsia" w:ascii="方正仿宋_GB2312" w:hAnsi="方正仿宋_GB2312" w:eastAsia="方正仿宋_GB2312" w:cs="方正仿宋_GB2312"/>
                <w:b w:val="0"/>
                <w:bCs/>
                <w:color w:val="auto"/>
                <w:kern w:val="0"/>
                <w:sz w:val="32"/>
                <w:szCs w:val="32"/>
                <w:highlight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10"/>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03</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1" w:type="pct"/>
            <w:gridSpan w:val="4"/>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单位：衡水市阜城县生态环境局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121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eastAsiaTheme="minorEastAsia"/>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735"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90" w:type="pct"/>
            <w:gridSpan w:val="2"/>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0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本年支出合计</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602" w:type="pct"/>
            <w:gridSpan w:val="2"/>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上缴上级支出</w:t>
            </w:r>
          </w:p>
        </w:tc>
        <w:tc>
          <w:tcPr>
            <w:tcW w:w="602"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经营支出</w:t>
            </w:r>
          </w:p>
        </w:tc>
        <w:tc>
          <w:tcPr>
            <w:tcW w:w="797"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6"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634"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6"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34" w:type="pct"/>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gridSpan w:val="2"/>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602"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97"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9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03"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2" w:type="pct"/>
            <w:gridSpan w:val="2"/>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2"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797" w:type="pc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90" w:type="pct"/>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29.06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29.06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14.72</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14.72</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369.49</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369.49</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50.76</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50.76</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 w:type="pct"/>
            <w:tcBorders>
              <w:top w:val="nil"/>
              <w:left w:val="single" w:color="000000" w:sz="4" w:space="0"/>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634" w:type="pct"/>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60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60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9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注：本表反映部门本年度各项支出情况。</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281" w:type="pct"/>
        <w:tblInd w:w="-18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4"/>
        <w:gridCol w:w="624"/>
        <w:gridCol w:w="1427"/>
        <w:gridCol w:w="1659"/>
        <w:gridCol w:w="439"/>
        <w:gridCol w:w="624"/>
        <w:gridCol w:w="458"/>
        <w:gridCol w:w="837"/>
        <w:gridCol w:w="1219"/>
        <w:gridCol w:w="1219"/>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31" w:type="pct"/>
            <w:gridSpan w:val="4"/>
            <w:tcBorders>
              <w:top w:val="nil"/>
              <w:left w:val="nil"/>
              <w:bottom w:val="single" w:color="auto" w:sz="4" w:space="0"/>
              <w:right w:val="nil"/>
            </w:tcBorders>
            <w:noWrap/>
            <w:vAlign w:val="bottom"/>
          </w:tcPr>
          <w:p>
            <w:pPr>
              <w:rPr>
                <w:rFonts w:hint="eastAsia" w:ascii="仿宋" w:hAnsi="仿宋" w:eastAsia="仿宋" w:cs="仿宋"/>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单位：衡水市阜城县生态环境局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p>
        </w:tc>
        <w:tc>
          <w:tcPr>
            <w:tcW w:w="649" w:type="pct"/>
            <w:gridSpan w:val="3"/>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919"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23" w:type="pct"/>
            <w:gridSpan w:val="3"/>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收入</w:t>
            </w:r>
          </w:p>
        </w:tc>
        <w:tc>
          <w:tcPr>
            <w:tcW w:w="3276" w:type="pct"/>
            <w:gridSpan w:val="8"/>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    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609"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金额</w:t>
            </w:r>
          </w:p>
        </w:tc>
        <w:tc>
          <w:tcPr>
            <w:tcW w:w="895"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26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行次</w:t>
            </w:r>
          </w:p>
        </w:tc>
        <w:tc>
          <w:tcPr>
            <w:tcW w:w="552" w:type="pct"/>
            <w:gridSpan w:val="2"/>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合计</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一般公共预算财政拨款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政府性基金预算财政拨款</w:t>
            </w:r>
          </w:p>
        </w:tc>
        <w:tc>
          <w:tcPr>
            <w:tcW w:w="520" w:type="pct"/>
            <w:vMerge w:val="restart"/>
            <w:tcBorders>
              <w:top w:val="nil"/>
              <w:left w:val="nil"/>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47"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09"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895"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26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52" w:type="pct"/>
            <w:gridSpan w:val="2"/>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520" w:type="pct"/>
            <w:vMerge w:val="continue"/>
            <w:tcBorders>
              <w:left w:val="nil"/>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60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    次</w:t>
            </w:r>
          </w:p>
        </w:tc>
        <w:tc>
          <w:tcPr>
            <w:tcW w:w="266" w:type="pct"/>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552"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52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520" w:type="pct"/>
            <w:tcBorders>
              <w:top w:val="nil"/>
              <w:left w:val="nil"/>
              <w:bottom w:val="single" w:color="000000" w:sz="4" w:space="0"/>
              <w:right w:val="single" w:color="000000" w:sz="8"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一、一般公共服务支出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二、外交支出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34</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35</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四、公共安全支出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36</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五、教育支出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六、科学技术支出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七、文化旅游体育与传媒支出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八、社会保障和就业支出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43.78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43.78</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九、卫生健康支出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6.24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十、节能环保支出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420.25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420.25</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十一、城乡社区支出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12</w:t>
            </w:r>
          </w:p>
        </w:tc>
        <w:tc>
          <w:tcPr>
            <w:tcW w:w="609"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十二、农林水支出</w:t>
            </w:r>
          </w:p>
        </w:tc>
        <w:tc>
          <w:tcPr>
            <w:tcW w:w="266" w:type="pct"/>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44</w:t>
            </w:r>
          </w:p>
        </w:tc>
        <w:tc>
          <w:tcPr>
            <w:tcW w:w="552" w:type="pct"/>
            <w:gridSpan w:val="2"/>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auto"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十三、交通运输支出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14</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十四、资源勘探工业信息等支出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46</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15</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十五、商业服务业等支出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47</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16</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十六、金融支出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48</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17</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十七、援助其他地区支出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49</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18</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十八、自然资源海洋气象等支出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50</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19</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十九、住房保障支出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51</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12.47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12.47</w:t>
            </w: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20</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二十、粮油物资储备支出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52</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21</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二十一、国有资本经营预算支出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53</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22</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二十二、灾害防治及应急管理支出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54</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23</w:t>
            </w:r>
          </w:p>
        </w:tc>
        <w:tc>
          <w:tcPr>
            <w:tcW w:w="60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二十三、其他支出</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55</w:t>
            </w:r>
          </w:p>
        </w:tc>
        <w:tc>
          <w:tcPr>
            <w:tcW w:w="552"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highlight w:val="none"/>
                <w:u w:val="none"/>
              </w:rPr>
            </w:pP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24</w:t>
            </w:r>
          </w:p>
        </w:tc>
        <w:tc>
          <w:tcPr>
            <w:tcW w:w="609"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二十四、债务还本支出</w:t>
            </w:r>
          </w:p>
        </w:tc>
        <w:tc>
          <w:tcPr>
            <w:tcW w:w="266" w:type="pct"/>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56</w:t>
            </w:r>
          </w:p>
        </w:tc>
        <w:tc>
          <w:tcPr>
            <w:tcW w:w="552" w:type="pct"/>
            <w:gridSpan w:val="2"/>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single" w:color="auto" w:sz="4" w:space="0"/>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25</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二十五、债务付息支出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57</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26</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二十六、抗疫特别国债安排的支出</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58</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本年收入合计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27</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本年支出合计</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59</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28</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年末财政拨款结转和结余</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60</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both"/>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一、一般公共预算财政拨款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29</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61</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二、政府性基金预算财政拨款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30</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62</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三、国有资本经营预算财政拨款</w:t>
            </w: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31</w:t>
            </w:r>
          </w:p>
        </w:tc>
        <w:tc>
          <w:tcPr>
            <w:tcW w:w="60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895" w:type="pct"/>
            <w:gridSpan w:val="2"/>
            <w:tcBorders>
              <w:top w:val="nil"/>
              <w:left w:val="nil"/>
              <w:bottom w:val="single" w:color="000000" w:sz="4" w:space="0"/>
              <w:right w:val="single" w:color="000000"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p>
        </w:tc>
        <w:tc>
          <w:tcPr>
            <w:tcW w:w="26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63</w:t>
            </w:r>
          </w:p>
        </w:tc>
        <w:tc>
          <w:tcPr>
            <w:tcW w:w="552"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4" w:space="0"/>
              <w:right w:val="single" w:color="000000" w:sz="8" w:space="0"/>
            </w:tcBorders>
            <w:noWrap/>
            <w:vAlign w:val="center"/>
          </w:tcPr>
          <w:p>
            <w:pPr>
              <w:jc w:val="lef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47" w:type="pct"/>
            <w:tcBorders>
              <w:top w:val="nil"/>
              <w:left w:val="single" w:color="000000" w:sz="4" w:space="0"/>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32</w:t>
            </w:r>
          </w:p>
        </w:tc>
        <w:tc>
          <w:tcPr>
            <w:tcW w:w="609"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895" w:type="pct"/>
            <w:gridSpan w:val="2"/>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0"/>
                <w:szCs w:val="20"/>
                <w:highlight w:val="none"/>
                <w:u w:val="none"/>
              </w:rPr>
            </w:pPr>
            <w:r>
              <w:rPr>
                <w:rFonts w:hint="eastAsia" w:ascii="方正仿宋_GB2312" w:hAnsi="方正仿宋_GB2312" w:eastAsia="方正仿宋_GB2312" w:cs="方正仿宋_GB2312"/>
                <w:b/>
                <w:bCs/>
                <w:i w:val="0"/>
                <w:iCs w:val="0"/>
                <w:color w:val="000000"/>
                <w:kern w:val="0"/>
                <w:sz w:val="20"/>
                <w:szCs w:val="20"/>
                <w:highlight w:val="none"/>
                <w:u w:val="none"/>
                <w:lang w:val="en-US" w:eastAsia="zh-CN" w:bidi="ar"/>
              </w:rPr>
              <w:t>总计</w:t>
            </w:r>
          </w:p>
        </w:tc>
        <w:tc>
          <w:tcPr>
            <w:tcW w:w="266" w:type="pct"/>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64</w:t>
            </w:r>
          </w:p>
        </w:tc>
        <w:tc>
          <w:tcPr>
            <w:tcW w:w="552" w:type="pct"/>
            <w:gridSpan w:val="2"/>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cs="Times New Roman"/>
                <w:sz w:val="20"/>
                <w:szCs w:val="20"/>
                <w:highlight w:val="none"/>
              </w:rPr>
            </w:pPr>
          </w:p>
          <w:p>
            <w:pPr>
              <w:jc w:val="right"/>
              <w:rPr>
                <w:rFonts w:hint="default" w:ascii="Times New Roman" w:hAnsi="Times New Roman" w:cs="Times New Roman"/>
                <w:sz w:val="20"/>
                <w:szCs w:val="20"/>
                <w:highlight w:val="none"/>
              </w:rPr>
            </w:pPr>
            <w:r>
              <w:rPr>
                <w:rFonts w:hint="default" w:ascii="Times New Roman" w:hAnsi="Times New Roman" w:cs="Times New Roman"/>
                <w:sz w:val="20"/>
                <w:szCs w:val="20"/>
                <w:highlight w:val="none"/>
              </w:rPr>
              <w:t>482.74</w:t>
            </w:r>
          </w:p>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0" w:type="pct"/>
            <w:tcBorders>
              <w:top w:val="nil"/>
              <w:left w:val="nil"/>
              <w:bottom w:val="single" w:color="000000" w:sz="8" w:space="0"/>
              <w:right w:val="single" w:color="000000" w:sz="8"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注：本表反映部门本年度一般公共预算财政拨款、政府性基金预算财政拨款和国有资本经营预算财政拨款的总收支和年末结转结余情况。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348" w:type="pct"/>
        <w:tblInd w:w="-6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4"/>
        <w:gridCol w:w="3416"/>
        <w:gridCol w:w="408"/>
        <w:gridCol w:w="837"/>
        <w:gridCol w:w="1002"/>
        <w:gridCol w:w="378"/>
        <w:gridCol w:w="1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000" w:type="pct"/>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5000" w:type="pct"/>
            <w:gridSpan w:val="7"/>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05</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1868"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单位：衡水市阜城县生态环境局</w:t>
            </w:r>
          </w:p>
        </w:tc>
        <w:tc>
          <w:tcPr>
            <w:tcW w:w="1541" w:type="pct"/>
            <w:gridSpan w:val="2"/>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Theme="minorEastAsia" w:hAnsiTheme="minorEastAsia" w:eastAsiaTheme="minorEastAsia" w:cstheme="minorEastAsia"/>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202</w:t>
            </w:r>
            <w:r>
              <w:rPr>
                <w:rFonts w:hint="eastAsia" w:ascii="Times New Roman" w:hAnsi="Times New Roman"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590" w:type="pct"/>
            <w:gridSpan w:val="2"/>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353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科目代码</w:t>
            </w:r>
          </w:p>
        </w:tc>
        <w:tc>
          <w:tcPr>
            <w:tcW w:w="7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1160"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1218"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04"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756"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160"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c>
          <w:tcPr>
            <w:tcW w:w="1218" w:type="pct"/>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1</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p>
        </w:tc>
        <w:tc>
          <w:tcPr>
            <w:tcW w:w="1218"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6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cs="Times New Roman"/>
                <w:sz w:val="20"/>
                <w:szCs w:val="20"/>
                <w:highlight w:val="none"/>
              </w:rPr>
              <w:t>482.74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社会保障和就业支出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行政事业单位养老支出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43.78</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行政单位离退休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29.06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29.06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2080505</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机关事业单位基本养老保险缴费支出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14.72</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14.72</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卫生健康支出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行政事业单位医疗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2101101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行政单位医疗</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6.24</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节能环保支出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环境保护管理事务</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420.25</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行政运行</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369.49</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369.49</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2110199</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其他环境保护管理事务支出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50.76</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50.76</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住房保障支出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住房改革支出</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704"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2210201</w:t>
            </w:r>
          </w:p>
        </w:tc>
        <w:tc>
          <w:tcPr>
            <w:tcW w:w="756"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sz w:val="20"/>
                <w:szCs w:val="20"/>
                <w:highlight w:val="none"/>
                <w:u w:val="none"/>
                <w:lang w:val="en-US" w:eastAsia="zh-CN"/>
              </w:rPr>
              <w:t>住房公积金</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1160"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iCs w:val="0"/>
                <w:color w:val="000000"/>
                <w:sz w:val="20"/>
                <w:szCs w:val="20"/>
                <w:highlight w:val="none"/>
                <w:u w:val="none"/>
                <w:lang w:val="en-US" w:eastAsia="zh-CN"/>
              </w:rPr>
              <w:t>12.47</w:t>
            </w:r>
          </w:p>
        </w:tc>
        <w:tc>
          <w:tcPr>
            <w:tcW w:w="1218"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5000" w:type="pct"/>
            <w:gridSpan w:val="7"/>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注：本表反映部门本年度一般公共预算财政拨款支出情况。</w:t>
            </w:r>
          </w:p>
        </w:tc>
      </w:tr>
    </w:tbl>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7050" w:type="pct"/>
        <w:tblInd w:w="-1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814"/>
        <w:gridCol w:w="1020"/>
        <w:gridCol w:w="964"/>
        <w:gridCol w:w="438"/>
        <w:gridCol w:w="1376"/>
        <w:gridCol w:w="587"/>
        <w:gridCol w:w="377"/>
        <w:gridCol w:w="964"/>
        <w:gridCol w:w="1814"/>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1"/>
            <w:tcBorders>
              <w:top w:val="nil"/>
              <w:left w:val="nil"/>
              <w:bottom w:val="nil"/>
              <w:right w:val="nil"/>
            </w:tcBorders>
            <w:noWrap/>
            <w:vAlign w:val="bottom"/>
          </w:tcPr>
          <w:p>
            <w:pPr>
              <w:keepNext w:val="0"/>
              <w:keepLines w:val="0"/>
              <w:widowControl/>
              <w:suppressLineNumbers w:val="0"/>
              <w:jc w:val="right"/>
              <w:textAlignment w:val="bottom"/>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06</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93" w:type="pct"/>
            <w:gridSpan w:val="5"/>
            <w:tcBorders>
              <w:top w:val="nil"/>
              <w:left w:val="nil"/>
              <w:bottom w:val="single" w:color="auto" w:sz="4" w:space="0"/>
              <w:right w:val="nil"/>
            </w:tcBorders>
            <w:noWrap/>
            <w:vAlign w:val="bottom"/>
          </w:tcPr>
          <w:p>
            <w:pP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单位：衡水市阜城县生态环境局 </w:t>
            </w:r>
            <w:r>
              <w:rPr>
                <w:rFonts w:hint="eastAsia" w:asciiTheme="minorEastAsia" w:hAnsiTheme="minorEastAsia" w:cstheme="minorEastAsia"/>
                <w:i w:val="0"/>
                <w:iCs w:val="0"/>
                <w:color w:val="000000"/>
                <w:kern w:val="0"/>
                <w:sz w:val="18"/>
                <w:szCs w:val="18"/>
                <w:highlight w:val="none"/>
                <w:u w:val="none"/>
                <w:lang w:val="en-US" w:eastAsia="zh-CN" w:bidi="ar"/>
              </w:rPr>
              <w:t xml:space="preserve">                                                                   </w:t>
            </w:r>
          </w:p>
        </w:tc>
        <w:tc>
          <w:tcPr>
            <w:tcW w:w="865" w:type="pct"/>
            <w:gridSpan w:val="2"/>
            <w:tcBorders>
              <w:top w:val="nil"/>
              <w:left w:val="nil"/>
              <w:bottom w:val="single" w:color="auto" w:sz="4" w:space="0"/>
              <w:right w:val="nil"/>
            </w:tcBorders>
            <w:noWrap/>
            <w:vAlign w:val="bottom"/>
          </w:tcPr>
          <w:p>
            <w:pPr>
              <w:jc w:val="center"/>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cstheme="minorEastAsia"/>
                <w:i w:val="0"/>
                <w:iCs w:val="0"/>
                <w:color w:val="000000"/>
                <w:kern w:val="0"/>
                <w:sz w:val="18"/>
                <w:szCs w:val="18"/>
                <w:highlight w:val="none"/>
                <w:u w:val="none"/>
                <w:lang w:val="en-US" w:eastAsia="zh-CN" w:bidi="ar"/>
              </w:rPr>
              <w:t>2024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1841" w:type="pct"/>
            <w:gridSpan w:val="4"/>
            <w:tcBorders>
              <w:top w:val="nil"/>
              <w:left w:val="nil"/>
              <w:bottom w:val="single" w:color="auto" w:sz="4" w:space="0"/>
              <w:right w:val="nil"/>
            </w:tcBorders>
            <w:noWrap/>
            <w:vAlign w:val="bottom"/>
          </w:tcPr>
          <w:p>
            <w:pPr>
              <w:jc w:val="right"/>
              <w:rPr>
                <w:rFonts w:hint="default"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674" w:type="pct"/>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w:t>
            </w:r>
          </w:p>
        </w:tc>
        <w:tc>
          <w:tcPr>
            <w:tcW w:w="3325" w:type="pct"/>
            <w:gridSpan w:val="8"/>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c>
          <w:tcPr>
            <w:tcW w:w="42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lang w:val="en-US" w:eastAsia="zh-CN"/>
              </w:rPr>
            </w:pPr>
            <w:r>
              <w:rPr>
                <w:rFonts w:hint="eastAsia" w:ascii="方正仿宋_GB2312" w:hAnsi="方正仿宋_GB2312" w:eastAsia="方正仿宋_GB2312" w:cs="方正仿宋_GB2312"/>
                <w:i w:val="0"/>
                <w:iCs w:val="0"/>
                <w:color w:val="000000"/>
                <w:sz w:val="18"/>
                <w:szCs w:val="18"/>
                <w:highlight w:val="none"/>
                <w:u w:val="none"/>
                <w:lang w:val="en-US" w:eastAsia="zh-CN"/>
              </w:rPr>
              <w:t>科目代码</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科目名称</w:t>
            </w:r>
          </w:p>
        </w:tc>
        <w:tc>
          <w:tcPr>
            <w:tcW w:w="44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421.44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16.08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债务利息及费用支出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基本工资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155.53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国内债务付息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津贴补贴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16.10</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印刷费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30702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国外债务付息</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奖金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42.51</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咨询费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伙食补助费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手续费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房屋建筑物购建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绩效工资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eastAsia" w:ascii="Times New Roman" w:hAnsi="Times New Roman" w:cs="Times New Roman"/>
                <w:sz w:val="18"/>
                <w:szCs w:val="18"/>
                <w:highlight w:val="none"/>
                <w:lang w:eastAsia="zh-CN"/>
              </w:rPr>
              <w:t>97.64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水费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办公设备购置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机关事业单位基本养老保险缴费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41.29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1.93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专用设备购置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职业年金缴费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13.28</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邮电费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eastAsia" w:ascii="Times New Roman" w:hAnsi="Times New Roman" w:cs="Times New Roman"/>
                <w:sz w:val="18"/>
                <w:szCs w:val="18"/>
                <w:highlight w:val="none"/>
                <w:lang w:eastAsia="zh-CN"/>
              </w:rPr>
            </w:pPr>
            <w:r>
              <w:rPr>
                <w:rFonts w:hint="eastAsia" w:ascii="Times New Roman" w:hAnsi="Times New Roman" w:cs="Times New Roman"/>
                <w:sz w:val="18"/>
                <w:szCs w:val="18"/>
                <w:highlight w:val="none"/>
                <w:lang w:eastAsia="zh-CN"/>
              </w:rPr>
              <w:t>1.75</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基础设施建设</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职工基本医疗保险缴费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17.64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取暖费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大型修缮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公务员医疗补助缴费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30209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物业管理费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信息网络及软件购置更新</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其他社会保障缴费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2.12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差旅费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物资储备</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住房公积金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35.32</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30212</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土地补偿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30114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30213</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维修（护）费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安置补助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30199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其他工资福利支出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 xml:space="preserve">  租赁费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地上附着物和青苗补偿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45.23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会议费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拆迁补偿</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离休费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培训费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退休费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45.23</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31019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其他交通工具购置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退职（役）费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30218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专用材料费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文物和陈列品购置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抚恤金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30224</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被装购置费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31022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无形资产购置</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生活补助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30225</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专用燃料费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31099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其他资本性支出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30306</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救济费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30226</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劳务费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医疗费补助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30227</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委托业务费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资本金注入</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助学金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30228</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工会经费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3.39</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31203</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政府投资基金股权投资</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奖励金</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30229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福利费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5.27</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31204</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费用补贴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个人农业生产补贴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30231</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31205</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利息补贴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30311</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代缴社会保险费</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30239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其他交通费用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3.74</w:t>
            </w: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31299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其他对企业补助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其他对个人和家庭的补助</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30240</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税金及附加费用</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30299</w:t>
            </w: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其他商品和服务支出</w:t>
            </w: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39907</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国家赔偿费用支出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39908</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对民间非营利组织和群众性自治组织补贴</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39909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经常性赠与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39910</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资本性赠与</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5" w:type="pct"/>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p>
        </w:tc>
        <w:tc>
          <w:tcPr>
            <w:tcW w:w="79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49"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799"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eastAsia" w:asciiTheme="minorEastAsia" w:hAnsiTheme="minorEastAsia" w:eastAsiaTheme="minorEastAsia" w:cstheme="minorEastAsia"/>
                <w:i w:val="0"/>
                <w:iCs w:val="0"/>
                <w:color w:val="000000"/>
                <w:sz w:val="18"/>
                <w:szCs w:val="18"/>
                <w:highlight w:val="none"/>
                <w:u w:val="none"/>
              </w:rPr>
            </w:pPr>
          </w:p>
        </w:tc>
        <w:tc>
          <w:tcPr>
            <w:tcW w:w="425" w:type="pct"/>
            <w:gridSpan w:val="2"/>
            <w:tcBorders>
              <w:top w:val="single" w:color="auto" w:sz="4" w:space="0"/>
              <w:left w:val="single" w:color="auto" w:sz="4" w:space="0"/>
              <w:bottom w:val="single" w:color="auto" w:sz="4" w:space="0"/>
              <w:right w:val="single" w:color="auto" w:sz="4" w:space="0"/>
            </w:tcBorders>
            <w:noWrap/>
            <w:vAlign w:val="center"/>
          </w:tcPr>
          <w:p>
            <w:pPr>
              <w:jc w:val="left"/>
              <w:rPr>
                <w:rFonts w:hint="default" w:ascii="Times New Roman" w:hAnsi="Times New Roman" w:cs="Times New Roman" w:eastAsiaTheme="minorEastAsia"/>
                <w:i w:val="0"/>
                <w:iCs w:val="0"/>
                <w:color w:val="000000"/>
                <w:sz w:val="18"/>
                <w:szCs w:val="18"/>
                <w:highlight w:val="none"/>
                <w:u w:val="none"/>
              </w:rPr>
            </w:pPr>
          </w:p>
        </w:tc>
        <w:tc>
          <w:tcPr>
            <w:tcW w:w="425"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cs="Times New Roman" w:eastAsiaTheme="minorEastAsia"/>
                <w:i w:val="0"/>
                <w:iCs w:val="0"/>
                <w:color w:val="000000"/>
                <w:sz w:val="18"/>
                <w:szCs w:val="18"/>
                <w:highlight w:val="none"/>
                <w:u w:val="none"/>
              </w:rPr>
            </w:pPr>
            <w:r>
              <w:rPr>
                <w:rFonts w:hint="default" w:ascii="Times New Roman" w:hAnsi="Times New Roman" w:cs="Times New Roman" w:eastAsiaTheme="minorEastAsia"/>
                <w:i w:val="0"/>
                <w:iCs w:val="0"/>
                <w:color w:val="000000"/>
                <w:kern w:val="0"/>
                <w:sz w:val="18"/>
                <w:szCs w:val="18"/>
                <w:highlight w:val="none"/>
                <w:u w:val="none"/>
                <w:lang w:val="en-US" w:eastAsia="zh-CN" w:bidi="ar"/>
              </w:rPr>
              <w:t>39999</w:t>
            </w:r>
          </w:p>
        </w:tc>
        <w:tc>
          <w:tcPr>
            <w:tcW w:w="79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left"/>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其他支出</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225" w:type="pct"/>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cs="Times New Roman" w:eastAsiaTheme="minorEastAsia"/>
                <w:sz w:val="18"/>
                <w:szCs w:val="18"/>
                <w:highlight w:val="none"/>
                <w:lang w:val="en-US" w:eastAsia="zh-CN"/>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人员经费合计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default" w:ascii="Times New Roman" w:hAnsi="Times New Roman" w:cs="Times New Roman" w:eastAsiaTheme="minorEastAsia"/>
                <w:sz w:val="18"/>
                <w:szCs w:val="18"/>
                <w:highlight w:val="none"/>
              </w:rPr>
            </w:pPr>
            <w:r>
              <w:rPr>
                <w:rFonts w:hint="default" w:ascii="Times New Roman" w:hAnsi="Times New Roman" w:cs="Times New Roman" w:eastAsiaTheme="minorEastAsia"/>
                <w:sz w:val="18"/>
                <w:szCs w:val="18"/>
                <w:highlight w:val="none"/>
              </w:rPr>
              <w:t>466.66</w:t>
            </w:r>
          </w:p>
        </w:tc>
        <w:tc>
          <w:tcPr>
            <w:tcW w:w="2875" w:type="pct"/>
            <w:gridSpan w:val="7"/>
            <w:tcBorders>
              <w:top w:val="single" w:color="auto" w:sz="4" w:space="0"/>
              <w:left w:val="single" w:color="auto" w:sz="4" w:space="0"/>
              <w:bottom w:val="single" w:color="auto" w:sz="4" w:space="0"/>
              <w:right w:val="single" w:color="auto" w:sz="4" w:space="0"/>
            </w:tcBorders>
            <w:noWrap/>
            <w:vAlign w:val="center"/>
          </w:tcPr>
          <w:p>
            <w:pPr>
              <w:jc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公用经费合计</w:t>
            </w:r>
          </w:p>
        </w:tc>
        <w:tc>
          <w:tcPr>
            <w:tcW w:w="449" w:type="pct"/>
            <w:tcBorders>
              <w:top w:val="single" w:color="auto" w:sz="4" w:space="0"/>
              <w:left w:val="single" w:color="auto" w:sz="4" w:space="0"/>
              <w:bottom w:val="single" w:color="auto" w:sz="4" w:space="0"/>
              <w:right w:val="single" w:color="auto" w:sz="4" w:space="0"/>
            </w:tcBorders>
            <w:noWrap/>
            <w:vAlign w:val="center"/>
          </w:tcPr>
          <w:p>
            <w:pPr>
              <w:jc w:val="right"/>
              <w:rPr>
                <w:rFonts w:hint="eastAsia" w:asciiTheme="minorEastAsia" w:hAnsiTheme="minorEastAsia" w:eastAsiaTheme="minorEastAsia" w:cstheme="minorEastAsia"/>
                <w:i w:val="0"/>
                <w:iCs w:val="0"/>
                <w:color w:val="000000"/>
                <w:sz w:val="18"/>
                <w:szCs w:val="18"/>
                <w:highlight w:val="none"/>
                <w:u w:val="none"/>
              </w:rPr>
            </w:pPr>
            <w:r>
              <w:rPr>
                <w:rFonts w:hint="default" w:ascii="Times New Roman" w:hAnsi="Times New Roman" w:cs="Times New Roman" w:eastAsiaTheme="minorEastAsia"/>
                <w:sz w:val="18"/>
                <w:szCs w:val="18"/>
                <w:highlight w:val="none"/>
              </w:rPr>
              <w:t>16.08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1"/>
            <w:tcBorders>
              <w:top w:val="single" w:color="auto" w:sz="4" w:space="0"/>
              <w:left w:val="nil"/>
              <w:bottom w:val="nil"/>
              <w:right w:val="nil"/>
            </w:tcBorders>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注：本表反映部门本年度一般公共预算财政拨款基本支出明细情况。</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6517" w:type="pct"/>
        <w:tblInd w:w="-14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1474"/>
        <w:gridCol w:w="1306"/>
        <w:gridCol w:w="1027"/>
        <w:gridCol w:w="1107"/>
        <w:gridCol w:w="418"/>
        <w:gridCol w:w="702"/>
        <w:gridCol w:w="1146"/>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宋体" w:cs="Times New Roman"/>
                <w:i w:val="0"/>
                <w:iCs w:val="0"/>
                <w:color w:val="000000"/>
                <w:kern w:val="0"/>
                <w:sz w:val="20"/>
                <w:szCs w:val="20"/>
                <w:highlight w:val="none"/>
                <w:u w:val="none"/>
                <w:lang w:val="en-US" w:eastAsia="zh-CN" w:bidi="ar"/>
              </w:rPr>
              <w:t>07</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7" w:type="pct"/>
            <w:gridSpan w:val="3"/>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单位：衡水市阜城县生态环境局 </w:t>
            </w:r>
            <w:r>
              <w:rPr>
                <w:rFonts w:hint="eastAsia" w:ascii="宋体" w:hAnsi="宋体" w:eastAsia="宋体" w:cs="宋体"/>
                <w:i w:val="0"/>
                <w:iCs w:val="0"/>
                <w:color w:val="000000"/>
                <w:kern w:val="0"/>
                <w:sz w:val="20"/>
                <w:szCs w:val="20"/>
                <w:highlight w:val="none"/>
                <w:u w:val="none"/>
                <w:lang w:val="en-US" w:eastAsia="zh-CN" w:bidi="ar"/>
              </w:rPr>
              <w:t xml:space="preserve">                                                                                     </w:t>
            </w:r>
          </w:p>
        </w:tc>
        <w:tc>
          <w:tcPr>
            <w:tcW w:w="1217"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854"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w:t>
            </w:r>
          </w:p>
        </w:tc>
        <w:tc>
          <w:tcPr>
            <w:tcW w:w="623"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年初结转和结余</w:t>
            </w:r>
          </w:p>
        </w:tc>
        <w:tc>
          <w:tcPr>
            <w:tcW w:w="489" w:type="pct"/>
            <w:vMerge w:val="restart"/>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本年收入</w:t>
            </w:r>
          </w:p>
        </w:tc>
        <w:tc>
          <w:tcPr>
            <w:tcW w:w="1609" w:type="pct"/>
            <w:gridSpan w:val="4"/>
            <w:tcBorders>
              <w:top w:val="single" w:color="auto"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本年支出</w:t>
            </w:r>
          </w:p>
        </w:tc>
        <w:tc>
          <w:tcPr>
            <w:tcW w:w="973" w:type="pct"/>
            <w:vMerge w:val="restart"/>
            <w:tcBorders>
              <w:top w:val="single" w:color="auto" w:sz="4" w:space="0"/>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703"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科目名称</w:t>
            </w: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小计</w:t>
            </w:r>
          </w:p>
        </w:tc>
        <w:tc>
          <w:tcPr>
            <w:tcW w:w="534" w:type="pct"/>
            <w:gridSpan w:val="2"/>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基本支出</w:t>
            </w:r>
          </w:p>
        </w:tc>
        <w:tc>
          <w:tcPr>
            <w:tcW w:w="546" w:type="pct"/>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项目支出</w:t>
            </w:r>
          </w:p>
        </w:tc>
        <w:tc>
          <w:tcPr>
            <w:tcW w:w="973" w:type="pct"/>
            <w:vMerge w:val="continue"/>
            <w:tcBorders>
              <w:left w:val="nil"/>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结转</w:t>
            </w:r>
          </w:p>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01" w:type="pct"/>
            <w:vMerge w:val="continue"/>
            <w:tcBorders>
              <w:top w:val="nil"/>
              <w:left w:val="single" w:color="000000"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3" w:type="pct"/>
            <w:vMerge w:val="continue"/>
            <w:tcBorders>
              <w:top w:val="nil"/>
              <w:left w:val="nil"/>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623"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489" w:type="pct"/>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28"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34" w:type="pct"/>
            <w:gridSpan w:val="2"/>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546" w:type="pct"/>
            <w:vMerge w:val="continue"/>
            <w:tcBorders>
              <w:top w:val="nil"/>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73"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栏次</w:t>
            </w:r>
          </w:p>
        </w:tc>
        <w:tc>
          <w:tcPr>
            <w:tcW w:w="623"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1</w:t>
            </w:r>
          </w:p>
        </w:tc>
        <w:tc>
          <w:tcPr>
            <w:tcW w:w="489"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2</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3</w:t>
            </w:r>
          </w:p>
        </w:tc>
        <w:tc>
          <w:tcPr>
            <w:tcW w:w="53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4</w:t>
            </w:r>
          </w:p>
        </w:tc>
        <w:tc>
          <w:tcPr>
            <w:tcW w:w="546"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rPr>
            </w:pPr>
            <w:r>
              <w:rPr>
                <w:rFonts w:hint="default" w:ascii="Times New Roman" w:hAnsi="Times New Roman" w:eastAsia="方正仿宋_GB2312" w:cs="Times New Roman"/>
                <w:i w:val="0"/>
                <w:iCs w:val="0"/>
                <w:color w:val="000000"/>
                <w:kern w:val="0"/>
                <w:sz w:val="20"/>
                <w:szCs w:val="20"/>
                <w:highlight w:val="none"/>
                <w:u w:val="none"/>
                <w:lang w:val="en-US" w:eastAsia="zh-CN" w:bidi="ar"/>
              </w:rPr>
              <w:t>5</w:t>
            </w:r>
          </w:p>
        </w:tc>
        <w:tc>
          <w:tcPr>
            <w:tcW w:w="973"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0"/>
                <w:szCs w:val="20"/>
                <w:highlight w:val="none"/>
                <w:u w:val="none"/>
                <w:lang w:val="en-US" w:eastAsia="zh-CN"/>
              </w:rPr>
            </w:pPr>
            <w:r>
              <w:rPr>
                <w:rFonts w:hint="default" w:ascii="Times New Roman" w:hAnsi="Times New Roman" w:eastAsia="方正仿宋_GB2312" w:cs="Times New Roman"/>
                <w:i w:val="0"/>
                <w:iCs w:val="0"/>
                <w:color w:val="000000"/>
                <w:sz w:val="20"/>
                <w:szCs w:val="20"/>
                <w:highlight w:val="none"/>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304"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合计</w:t>
            </w:r>
          </w:p>
        </w:tc>
        <w:tc>
          <w:tcPr>
            <w:tcW w:w="623" w:type="pct"/>
            <w:tcBorders>
              <w:top w:val="nil"/>
              <w:left w:val="single" w:color="auto"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489"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34"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546"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73"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注：本表反映部门本年度政府性基金预算财政拨款收入、支出及结转和结余情况。（如无相关数据，则需注明空表列示）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28"/>
                <w:szCs w:val="28"/>
                <w:highlight w:val="none"/>
              </w:rPr>
            </w:pPr>
            <w:r>
              <w:rPr>
                <w:rFonts w:hint="eastAsia" w:ascii="仿宋_GB2312" w:hAnsi="宋体" w:eastAsia="仿宋_GB2312"/>
                <w:b/>
                <w:color w:val="auto"/>
                <w:kern w:val="0"/>
                <w:sz w:val="28"/>
                <w:szCs w:val="28"/>
                <w:highlight w:val="none"/>
                <w:lang w:eastAsia="zh-CN"/>
              </w:rPr>
              <w:t>备</w:t>
            </w:r>
            <w:r>
              <w:rPr>
                <w:rFonts w:hint="eastAsia" w:ascii="仿宋_GB2312" w:hAnsi="宋体" w:eastAsia="仿宋_GB2312"/>
                <w:b/>
                <w:color w:val="auto"/>
                <w:kern w:val="0"/>
                <w:sz w:val="28"/>
                <w:szCs w:val="28"/>
                <w:highlight w:val="none"/>
              </w:rPr>
              <w:t>注：</w:t>
            </w:r>
            <w:r>
              <w:rPr>
                <w:rFonts w:hint="eastAsia" w:ascii="楷体" w:hAnsi="楷体" w:eastAsia="楷体" w:cs="楷体"/>
                <w:sz w:val="28"/>
                <w:szCs w:val="28"/>
                <w:highlight w:val="none"/>
              </w:rPr>
              <w:t>本</w:t>
            </w:r>
            <w:r>
              <w:rPr>
                <w:rFonts w:hint="eastAsia" w:ascii="楷体" w:hAnsi="楷体" w:eastAsia="楷体" w:cs="楷体"/>
                <w:sz w:val="28"/>
                <w:szCs w:val="28"/>
                <w:highlight w:val="none"/>
                <w:lang w:eastAsia="zh-CN"/>
              </w:rPr>
              <w:t>单位</w:t>
            </w:r>
            <w:r>
              <w:rPr>
                <w:rFonts w:hint="eastAsia" w:ascii="楷体" w:hAnsi="楷体" w:eastAsia="楷体" w:cs="楷体"/>
                <w:sz w:val="28"/>
                <w:szCs w:val="28"/>
                <w:highlight w:val="none"/>
              </w:rPr>
              <w:t>本年度无</w:t>
            </w:r>
            <w:r>
              <w:rPr>
                <w:rFonts w:hint="eastAsia" w:ascii="楷体" w:hAnsi="楷体" w:eastAsia="楷体" w:cs="楷体"/>
                <w:sz w:val="28"/>
                <w:szCs w:val="28"/>
                <w:highlight w:val="none"/>
                <w:lang w:eastAsia="zh-CN"/>
              </w:rPr>
              <w:t>收支及结转结余情况</w:t>
            </w:r>
            <w:r>
              <w:rPr>
                <w:rFonts w:hint="eastAsia" w:ascii="楷体" w:hAnsi="楷体" w:eastAsia="楷体" w:cs="楷体"/>
                <w:sz w:val="28"/>
                <w:szCs w:val="28"/>
                <w:highlight w:val="none"/>
              </w:rPr>
              <w:t>，按要求空表列示。</w:t>
            </w:r>
          </w:p>
          <w:p>
            <w:pP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br w:type="page"/>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W w:w="5863" w:type="pct"/>
        <w:tblInd w:w="-9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93"/>
        <w:gridCol w:w="731"/>
        <w:gridCol w:w="1296"/>
        <w:gridCol w:w="1332"/>
        <w:gridCol w:w="5"/>
        <w:gridCol w:w="47"/>
        <w:gridCol w:w="1281"/>
        <w:gridCol w:w="10"/>
        <w:gridCol w:w="1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公开</w:t>
            </w:r>
            <w:r>
              <w:rPr>
                <w:rFonts w:hint="default" w:ascii="Times New Roman" w:hAnsi="Times New Roman" w:eastAsia="方正仿宋_GB2312" w:cs="Times New Roman"/>
                <w:i w:val="0"/>
                <w:iCs w:val="0"/>
                <w:color w:val="000000"/>
                <w:kern w:val="0"/>
                <w:sz w:val="20"/>
                <w:szCs w:val="20"/>
                <w:highlight w:val="none"/>
                <w:u w:val="none"/>
                <w:lang w:val="en-US" w:eastAsia="zh-CN" w:bidi="ar"/>
              </w:rPr>
              <w:t>08</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74" w:type="pct"/>
            <w:gridSpan w:val="2"/>
            <w:tcBorders>
              <w:top w:val="nil"/>
              <w:left w:val="nil"/>
              <w:bottom w:val="single" w:color="auto" w:sz="4" w:space="0"/>
              <w:right w:val="nil"/>
            </w:tcBorders>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单位：衡水市阜城县生态环境局</w:t>
            </w:r>
          </w:p>
        </w:tc>
        <w:tc>
          <w:tcPr>
            <w:tcW w:w="1421" w:type="pct"/>
            <w:gridSpan w:val="4"/>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202</w:t>
            </w:r>
            <w:r>
              <w:rPr>
                <w:rFonts w:hint="eastAsia" w:ascii="Times New Roman" w:hAnsi="Times New Roman" w:eastAsia="宋体" w:cs="Times New Roman"/>
                <w:i w:val="0"/>
                <w:iCs w:val="0"/>
                <w:color w:val="000000"/>
                <w:kern w:val="0"/>
                <w:sz w:val="20"/>
                <w:szCs w:val="20"/>
                <w:highlight w:val="none"/>
                <w:u w:val="none"/>
                <w:lang w:val="en-US" w:eastAsia="zh-CN" w:bidi="ar"/>
              </w:rPr>
              <w:t>4</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年度</w:t>
            </w:r>
          </w:p>
        </w:tc>
        <w:tc>
          <w:tcPr>
            <w:tcW w:w="1603" w:type="pct"/>
            <w:gridSpan w:val="3"/>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 xml:space="preserve"> 项目</w:t>
            </w:r>
          </w:p>
        </w:tc>
        <w:tc>
          <w:tcPr>
            <w:tcW w:w="2337" w:type="pct"/>
            <w:gridSpan w:val="6"/>
            <w:vMerge w:val="restart"/>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662" w:type="pct"/>
            <w:gridSpan w:val="3"/>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c>
          <w:tcPr>
            <w:tcW w:w="2337" w:type="pct"/>
            <w:gridSpan w:val="6"/>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科目代码</w:t>
            </w:r>
          </w:p>
        </w:tc>
        <w:tc>
          <w:tcPr>
            <w:tcW w:w="1074"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科目名称</w:t>
            </w:r>
          </w:p>
        </w:tc>
        <w:tc>
          <w:tcPr>
            <w:tcW w:w="709" w:type="pct"/>
            <w:gridSpan w:val="2"/>
            <w:vMerge w:val="restart"/>
            <w:tcBorders>
              <w:top w:val="nil"/>
              <w:left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合计</w:t>
            </w:r>
          </w:p>
        </w:tc>
        <w:tc>
          <w:tcPr>
            <w:tcW w:w="709" w:type="pct"/>
            <w:gridSpan w:val="3"/>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基本支出</w:t>
            </w:r>
          </w:p>
        </w:tc>
        <w:tc>
          <w:tcPr>
            <w:tcW w:w="919" w:type="pct"/>
            <w:vMerge w:val="restart"/>
            <w:tcBorders>
              <w:top w:val="nil"/>
              <w:left w:val="nil"/>
              <w:right w:val="single" w:color="000000" w:sz="4" w:space="0"/>
            </w:tcBorders>
            <w:noWrap w:val="0"/>
            <w:vAlign w:val="center"/>
          </w:tcPr>
          <w:p>
            <w:pPr>
              <w:jc w:val="center"/>
              <w:rPr>
                <w:rFonts w:hint="default" w:ascii="方正仿宋_GB2312" w:hAnsi="方正仿宋_GB2312" w:eastAsia="方正仿宋_GB2312" w:cs="方正仿宋_GB2312"/>
                <w:i w:val="0"/>
                <w:iCs w:val="0"/>
                <w:color w:val="000000"/>
                <w:sz w:val="20"/>
                <w:szCs w:val="20"/>
                <w:highlight w:val="none"/>
                <w:u w:val="none"/>
                <w:lang w:val="en-US" w:eastAsia="zh-CN"/>
              </w:rPr>
            </w:pPr>
            <w:r>
              <w:rPr>
                <w:rFonts w:hint="eastAsia" w:ascii="方正仿宋_GB2312" w:hAnsi="方正仿宋_GB2312" w:eastAsia="方正仿宋_GB2312" w:cs="方正仿宋_GB2312"/>
                <w:i w:val="0"/>
                <w:iCs w:val="0"/>
                <w:color w:val="000000"/>
                <w:sz w:val="20"/>
                <w:szCs w:val="20"/>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87"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1074" w:type="pct"/>
            <w:gridSpan w:val="2"/>
            <w:vMerge w:val="continue"/>
            <w:tcBorders>
              <w:top w:val="single" w:color="auto" w:sz="4" w:space="0"/>
              <w:left w:val="nil"/>
              <w:bottom w:val="single" w:color="auto" w:sz="4" w:space="0"/>
              <w:right w:val="single" w:color="auto"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2"/>
            <w:vMerge w:val="continue"/>
            <w:tcBorders>
              <w:left w:val="single" w:color="auto" w:sz="4" w:space="0"/>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709" w:type="pct"/>
            <w:gridSpan w:val="3"/>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c>
          <w:tcPr>
            <w:tcW w:w="919" w:type="pct"/>
            <w:vMerge w:val="continue"/>
            <w:tcBorders>
              <w:left w:val="nil"/>
              <w:bottom w:val="single" w:color="000000" w:sz="4" w:space="0"/>
              <w:right w:val="single" w:color="000000" w:sz="4" w:space="0"/>
            </w:tcBorders>
            <w:noWrap w:val="0"/>
            <w:vAlign w:val="center"/>
          </w:tcPr>
          <w:p>
            <w:pPr>
              <w:jc w:val="center"/>
              <w:rPr>
                <w:rFonts w:hint="eastAsia" w:ascii="方正仿宋_GB2312" w:hAnsi="方正仿宋_GB2312" w:eastAsia="方正仿宋_GB2312" w:cs="方正仿宋_GB2312"/>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auto" w:sz="4" w:space="0"/>
              <w:left w:val="single" w:color="auto" w:sz="4" w:space="0"/>
              <w:bottom w:val="single" w:color="000000" w:sz="4" w:space="0"/>
              <w:right w:val="single" w:color="auto"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栏次</w:t>
            </w:r>
          </w:p>
        </w:tc>
        <w:tc>
          <w:tcPr>
            <w:tcW w:w="706" w:type="pct"/>
            <w:tcBorders>
              <w:top w:val="nil"/>
              <w:left w:val="single" w:color="auto"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1</w:t>
            </w:r>
          </w:p>
        </w:tc>
        <w:tc>
          <w:tcPr>
            <w:tcW w:w="70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2</w:t>
            </w:r>
          </w:p>
        </w:tc>
        <w:tc>
          <w:tcPr>
            <w:tcW w:w="924"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imes New Roman" w:hAnsi="Times New Roman" w:eastAsia="方正仿宋_GB2312"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62" w:type="pct"/>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0"/>
                <w:szCs w:val="20"/>
                <w:highlight w:val="none"/>
                <w:u w:val="none"/>
                <w:lang w:val="en-US" w:eastAsia="zh-CN"/>
              </w:rPr>
            </w:pPr>
            <w:r>
              <w:rPr>
                <w:rFonts w:hint="eastAsia" w:ascii="Times New Roman" w:hAnsi="Times New Roman" w:eastAsia="方正仿宋_GB2312" w:cs="Times New Roman"/>
                <w:i w:val="0"/>
                <w:iCs w:val="0"/>
                <w:color w:val="000000"/>
                <w:sz w:val="20"/>
                <w:szCs w:val="20"/>
                <w:highlight w:val="none"/>
                <w:u w:val="none"/>
                <w:lang w:val="en-US" w:eastAsia="zh-CN"/>
              </w:rPr>
              <w:t>合计</w:t>
            </w:r>
          </w:p>
        </w:tc>
        <w:tc>
          <w:tcPr>
            <w:tcW w:w="706" w:type="pct"/>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706" w:type="pct"/>
            <w:gridSpan w:val="3"/>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c>
          <w:tcPr>
            <w:tcW w:w="924" w:type="pct"/>
            <w:gridSpan w:val="2"/>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Times New Roman" w:hAnsi="Times New Roman" w:eastAsia="宋体" w:cs="Times New Roman"/>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注：本表反映部门本年度国有资本经营预算财政拨款支出情况。（如无相关数据，则需注明空表列示）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28"/>
          <w:szCs w:val="28"/>
          <w:highlight w:val="none"/>
        </w:rPr>
      </w:pPr>
      <w:r>
        <w:rPr>
          <w:rFonts w:hint="eastAsia" w:ascii="仿宋_GB2312" w:hAnsi="宋体" w:eastAsia="仿宋_GB2312"/>
          <w:b/>
          <w:color w:val="auto"/>
          <w:kern w:val="0"/>
          <w:sz w:val="28"/>
          <w:szCs w:val="28"/>
          <w:highlight w:val="none"/>
          <w:lang w:eastAsia="zh-CN"/>
        </w:rPr>
        <w:t>备</w:t>
      </w:r>
      <w:r>
        <w:rPr>
          <w:rFonts w:hint="eastAsia" w:ascii="仿宋_GB2312" w:hAnsi="宋体" w:eastAsia="仿宋_GB2312"/>
          <w:b/>
          <w:color w:val="auto"/>
          <w:kern w:val="0"/>
          <w:sz w:val="28"/>
          <w:szCs w:val="28"/>
          <w:highlight w:val="none"/>
        </w:rPr>
        <w:t>注：</w:t>
      </w:r>
      <w:r>
        <w:rPr>
          <w:rFonts w:hint="eastAsia" w:ascii="楷体" w:hAnsi="楷体" w:eastAsia="楷体" w:cs="楷体"/>
          <w:sz w:val="28"/>
          <w:szCs w:val="28"/>
          <w:highlight w:val="none"/>
        </w:rPr>
        <w:t>本</w:t>
      </w:r>
      <w:r>
        <w:rPr>
          <w:rFonts w:hint="eastAsia" w:ascii="楷体" w:hAnsi="楷体" w:eastAsia="楷体" w:cs="楷体"/>
          <w:sz w:val="28"/>
          <w:szCs w:val="28"/>
          <w:highlight w:val="none"/>
          <w:lang w:eastAsia="zh-CN"/>
        </w:rPr>
        <w:t>单位</w:t>
      </w:r>
      <w:r>
        <w:rPr>
          <w:rFonts w:hint="eastAsia" w:ascii="楷体" w:hAnsi="楷体" w:eastAsia="楷体" w:cs="楷体"/>
          <w:sz w:val="28"/>
          <w:szCs w:val="28"/>
          <w:highlight w:val="none"/>
        </w:rPr>
        <w:t>本年度无</w:t>
      </w:r>
      <w:r>
        <w:rPr>
          <w:rFonts w:hint="eastAsia" w:ascii="楷体" w:hAnsi="楷体" w:eastAsia="楷体" w:cs="楷体"/>
          <w:sz w:val="28"/>
          <w:szCs w:val="28"/>
          <w:highlight w:val="none"/>
          <w:lang w:eastAsia="zh-CN"/>
        </w:rPr>
        <w:t>收支及结转结余情况</w:t>
      </w:r>
      <w:r>
        <w:rPr>
          <w:rFonts w:hint="eastAsia" w:ascii="楷体" w:hAnsi="楷体" w:eastAsia="楷体" w:cs="楷体"/>
          <w:sz w:val="28"/>
          <w:szCs w:val="28"/>
          <w:highlight w:val="none"/>
        </w:rPr>
        <w:t>，按要求空表列示。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tbl>
      <w:tblPr>
        <w:tblStyle w:val="11"/>
        <w:tblpPr w:leftFromText="180" w:rightFromText="180" w:vertAnchor="text" w:horzAnchor="page" w:tblpX="282" w:tblpY="39"/>
        <w:tblOverlap w:val="never"/>
        <w:tblW w:w="721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7"/>
        <w:gridCol w:w="1226"/>
        <w:gridCol w:w="814"/>
        <w:gridCol w:w="946"/>
        <w:gridCol w:w="519"/>
        <w:gridCol w:w="544"/>
        <w:gridCol w:w="777"/>
        <w:gridCol w:w="845"/>
        <w:gridCol w:w="5"/>
        <w:gridCol w:w="1133"/>
        <w:gridCol w:w="640"/>
        <w:gridCol w:w="1027"/>
        <w:gridCol w:w="946"/>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000" w:type="pct"/>
            <w:gridSpan w:val="14"/>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b w:val="0"/>
                <w:bCs/>
                <w:color w:val="auto"/>
                <w:kern w:val="0"/>
                <w:sz w:val="32"/>
                <w:szCs w:val="32"/>
                <w:highlight w:val="none"/>
                <w:lang w:val="en-US" w:eastAsia="zh-CN"/>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000" w:type="pct"/>
            <w:gridSpan w:val="14"/>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公开</w:t>
            </w:r>
            <w:r>
              <w:rPr>
                <w:rFonts w:hint="default" w:ascii="Times New Roman" w:hAnsi="Times New Roman" w:eastAsia="方正仿宋_GB2312" w:cs="Times New Roman"/>
                <w:i w:val="0"/>
                <w:iCs w:val="0"/>
                <w:color w:val="000000"/>
                <w:kern w:val="0"/>
                <w:sz w:val="18"/>
                <w:szCs w:val="18"/>
                <w:highlight w:val="none"/>
                <w:u w:val="none"/>
                <w:lang w:val="en-US" w:eastAsia="zh-CN" w:bidi="ar"/>
              </w:rPr>
              <w:t>09</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936" w:type="pct"/>
            <w:gridSpan w:val="5"/>
            <w:tcBorders>
              <w:top w:val="nil"/>
              <w:left w:val="nil"/>
              <w:bottom w:val="single" w:color="auto" w:sz="4" w:space="0"/>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单位：衡水市阜城县生态环境局</w:t>
            </w:r>
          </w:p>
        </w:tc>
        <w:tc>
          <w:tcPr>
            <w:tcW w:w="933" w:type="pct"/>
            <w:gridSpan w:val="3"/>
            <w:tcBorders>
              <w:top w:val="nil"/>
              <w:left w:val="nil"/>
              <w:bottom w:val="single" w:color="auto" w:sz="4" w:space="0"/>
              <w:right w:val="nil"/>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18"/>
                <w:szCs w:val="18"/>
                <w:highlight w:val="none"/>
                <w:u w:val="none"/>
                <w:lang w:val="en-US" w:eastAsia="zh-CN" w:bidi="ar"/>
              </w:rPr>
            </w:pPr>
            <w:r>
              <w:rPr>
                <w:rFonts w:hint="default" w:ascii="Times New Roman" w:hAnsi="Times New Roman" w:eastAsia="宋体" w:cs="Times New Roman"/>
                <w:i w:val="0"/>
                <w:iCs w:val="0"/>
                <w:color w:val="000000"/>
                <w:kern w:val="0"/>
                <w:sz w:val="18"/>
                <w:szCs w:val="18"/>
                <w:highlight w:val="none"/>
                <w:u w:val="none"/>
                <w:lang w:val="en-US" w:eastAsia="zh-CN" w:bidi="ar"/>
              </w:rPr>
              <w:t>202</w:t>
            </w:r>
            <w:r>
              <w:rPr>
                <w:rFonts w:hint="eastAsia" w:ascii="Times New Roman" w:hAnsi="Times New Roman" w:eastAsia="宋体" w:cs="Times New Roman"/>
                <w:i w:val="0"/>
                <w:iCs w:val="0"/>
                <w:color w:val="000000"/>
                <w:kern w:val="0"/>
                <w:sz w:val="18"/>
                <w:szCs w:val="18"/>
                <w:highlight w:val="none"/>
                <w:u w:val="none"/>
                <w:lang w:val="en-US" w:eastAsia="zh-CN" w:bidi="ar"/>
              </w:rPr>
              <w:t>4</w:t>
            </w: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年度</w:t>
            </w:r>
          </w:p>
        </w:tc>
        <w:tc>
          <w:tcPr>
            <w:tcW w:w="2129" w:type="pct"/>
            <w:gridSpan w:val="6"/>
            <w:tcBorders>
              <w:top w:val="nil"/>
              <w:left w:val="nil"/>
              <w:bottom w:val="single" w:color="auto" w:sz="4" w:space="0"/>
              <w:right w:val="nil"/>
            </w:tcBorders>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18"/>
                <w:szCs w:val="18"/>
                <w:highlight w:val="none"/>
                <w:u w:val="none"/>
                <w:lang w:val="en-US" w:eastAsia="zh-CN" w:bidi="ar"/>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506" w:type="pct"/>
            <w:gridSpan w:val="7"/>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预算数</w:t>
            </w:r>
          </w:p>
        </w:tc>
        <w:tc>
          <w:tcPr>
            <w:tcW w:w="2493" w:type="pct"/>
            <w:gridSpan w:val="7"/>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restar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52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217" w:type="pct"/>
            <w:gridSpan w:val="4"/>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335"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c>
          <w:tcPr>
            <w:tcW w:w="366" w:type="pct"/>
            <w:gridSpan w:val="2"/>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合计</w:t>
            </w:r>
          </w:p>
        </w:tc>
        <w:tc>
          <w:tcPr>
            <w:tcW w:w="488"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因公出国（境）费</w:t>
            </w:r>
          </w:p>
        </w:tc>
        <w:tc>
          <w:tcPr>
            <w:tcW w:w="1126" w:type="pct"/>
            <w:gridSpan w:val="3"/>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公务用车购置及运行维护费</w:t>
            </w:r>
          </w:p>
        </w:tc>
        <w:tc>
          <w:tcPr>
            <w:tcW w:w="511" w:type="pct"/>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vMerge w:val="continue"/>
            <w:tcBorders>
              <w:top w:val="nil"/>
              <w:left w:val="single" w:color="000000" w:sz="4" w:space="0"/>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52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335"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366" w:type="pct"/>
            <w:gridSpan w:val="2"/>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488"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小计</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公务用车购置费</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公务用车运行维护费</w:t>
            </w:r>
          </w:p>
        </w:tc>
        <w:tc>
          <w:tcPr>
            <w:tcW w:w="511" w:type="pct"/>
            <w:vMerge w:val="continue"/>
            <w:tcBorders>
              <w:top w:val="nil"/>
              <w:left w:val="nil"/>
              <w:bottom w:val="single" w:color="000000" w:sz="4" w:space="0"/>
              <w:right w:val="single" w:color="000000" w:sz="4" w:space="0"/>
            </w:tcBorders>
            <w:noWrap/>
            <w:vAlign w:val="center"/>
          </w:tcPr>
          <w:p>
            <w:pPr>
              <w:jc w:val="center"/>
              <w:rPr>
                <w:rFonts w:hint="eastAsia" w:ascii="方正仿宋_GB2312" w:hAnsi="方正仿宋_GB2312" w:eastAsia="方正仿宋_GB2312" w:cs="方正仿宋_GB2312"/>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w:t>
            </w:r>
          </w:p>
        </w:tc>
        <w:tc>
          <w:tcPr>
            <w:tcW w:w="52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2</w:t>
            </w:r>
          </w:p>
        </w:tc>
        <w:tc>
          <w:tcPr>
            <w:tcW w:w="350"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3</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4</w:t>
            </w:r>
          </w:p>
        </w:tc>
        <w:tc>
          <w:tcPr>
            <w:tcW w:w="458"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5</w:t>
            </w:r>
          </w:p>
        </w:tc>
        <w:tc>
          <w:tcPr>
            <w:tcW w:w="33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6</w:t>
            </w:r>
          </w:p>
        </w:tc>
        <w:tc>
          <w:tcPr>
            <w:tcW w:w="366" w:type="pct"/>
            <w:gridSpan w:val="2"/>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7</w:t>
            </w:r>
          </w:p>
        </w:tc>
        <w:tc>
          <w:tcPr>
            <w:tcW w:w="488"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8</w:t>
            </w:r>
          </w:p>
        </w:tc>
        <w:tc>
          <w:tcPr>
            <w:tcW w:w="275"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9</w:t>
            </w:r>
          </w:p>
        </w:tc>
        <w:tc>
          <w:tcPr>
            <w:tcW w:w="442"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10</w:t>
            </w:r>
          </w:p>
        </w:tc>
        <w:tc>
          <w:tcPr>
            <w:tcW w:w="407"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11</w:t>
            </w:r>
          </w:p>
        </w:tc>
        <w:tc>
          <w:tcPr>
            <w:tcW w:w="511" w:type="pc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8"/>
                <w:szCs w:val="18"/>
                <w:highlight w:val="none"/>
                <w:u w:val="none"/>
              </w:rPr>
            </w:pPr>
            <w:r>
              <w:rPr>
                <w:rFonts w:hint="default" w:ascii="Times New Roman" w:hAnsi="Times New Roman" w:eastAsia="方正仿宋_GB2312" w:cs="Times New Roman"/>
                <w:i w:val="0"/>
                <w:iCs w:val="0"/>
                <w:color w:val="000000"/>
                <w:kern w:val="0"/>
                <w:sz w:val="18"/>
                <w:szCs w:val="18"/>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425" w:type="pct"/>
            <w:tcBorders>
              <w:top w:val="nil"/>
              <w:left w:val="single" w:color="000000" w:sz="4" w:space="0"/>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2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50"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58"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3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366" w:type="pct"/>
            <w:gridSpan w:val="2"/>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88"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275"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42"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407"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c>
          <w:tcPr>
            <w:tcW w:w="511" w:type="pct"/>
            <w:tcBorders>
              <w:top w:val="nil"/>
              <w:left w:val="nil"/>
              <w:bottom w:val="single" w:color="000000" w:sz="4" w:space="0"/>
              <w:right w:val="single" w:color="000000" w:sz="4" w:space="0"/>
            </w:tcBorders>
            <w:noWrap/>
            <w:vAlign w:val="center"/>
          </w:tcPr>
          <w:p>
            <w:pPr>
              <w:jc w:val="right"/>
              <w:rPr>
                <w:rFonts w:hint="default" w:ascii="Times New Roman" w:hAnsi="Times New Roman" w:eastAsia="方正仿宋_GB2312" w:cs="Times New Roman"/>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5000" w:type="pct"/>
            <w:gridSpan w:val="14"/>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highlight w:val="none"/>
                <w:u w:val="none"/>
              </w:rPr>
            </w:pPr>
            <w:r>
              <w:rPr>
                <w:rFonts w:hint="eastAsia" w:ascii="方正仿宋_GB2312" w:hAnsi="方正仿宋_GB2312" w:eastAsia="方正仿宋_GB2312" w:cs="方正仿宋_GB2312"/>
                <w:i w:val="0"/>
                <w:iCs w:val="0"/>
                <w:color w:val="000000"/>
                <w:kern w:val="0"/>
                <w:sz w:val="18"/>
                <w:szCs w:val="18"/>
                <w:highlight w:val="none"/>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r>
              <w:rPr>
                <w:rFonts w:hint="eastAsia" w:ascii="方正仿宋_GB2312" w:hAnsi="方正仿宋_GB2312" w:eastAsia="方正仿宋_GB2312" w:cs="方正仿宋_GB2312"/>
                <w:i w:val="0"/>
                <w:iCs w:val="0"/>
                <w:color w:val="000000"/>
                <w:kern w:val="0"/>
                <w:sz w:val="20"/>
                <w:szCs w:val="20"/>
                <w:highlight w:val="none"/>
                <w:u w:val="none"/>
                <w:lang w:val="en-US" w:eastAsia="zh-CN" w:bidi="ar"/>
              </w:rPr>
              <w:t>（如无相关数据，则需注明空表列示）</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28"/>
          <w:szCs w:val="28"/>
          <w:highlight w:val="none"/>
        </w:rPr>
      </w:pPr>
      <w:r>
        <w:rPr>
          <w:rFonts w:hint="eastAsia" w:ascii="仿宋_GB2312" w:hAnsi="宋体" w:eastAsia="仿宋_GB2312"/>
          <w:b/>
          <w:color w:val="auto"/>
          <w:kern w:val="0"/>
          <w:sz w:val="28"/>
          <w:szCs w:val="28"/>
          <w:highlight w:val="none"/>
          <w:lang w:eastAsia="zh-CN"/>
        </w:rPr>
        <w:t>备</w:t>
      </w:r>
      <w:r>
        <w:rPr>
          <w:rFonts w:hint="eastAsia" w:ascii="仿宋_GB2312" w:hAnsi="宋体" w:eastAsia="仿宋_GB2312"/>
          <w:b/>
          <w:color w:val="auto"/>
          <w:kern w:val="0"/>
          <w:sz w:val="28"/>
          <w:szCs w:val="28"/>
          <w:highlight w:val="none"/>
        </w:rPr>
        <w:t>注：</w:t>
      </w:r>
      <w:r>
        <w:rPr>
          <w:rFonts w:hint="eastAsia" w:ascii="楷体" w:hAnsi="楷体" w:eastAsia="楷体" w:cs="楷体"/>
          <w:sz w:val="28"/>
          <w:szCs w:val="28"/>
          <w:highlight w:val="none"/>
        </w:rPr>
        <w:t>本</w:t>
      </w:r>
      <w:r>
        <w:rPr>
          <w:rFonts w:hint="eastAsia" w:ascii="楷体" w:hAnsi="楷体" w:eastAsia="楷体" w:cs="楷体"/>
          <w:sz w:val="28"/>
          <w:szCs w:val="28"/>
          <w:highlight w:val="none"/>
          <w:lang w:eastAsia="zh-CN"/>
        </w:rPr>
        <w:t>单位</w:t>
      </w:r>
      <w:r>
        <w:rPr>
          <w:rFonts w:hint="eastAsia" w:ascii="楷体" w:hAnsi="楷体" w:eastAsia="楷体" w:cs="楷体"/>
          <w:sz w:val="28"/>
          <w:szCs w:val="28"/>
          <w:highlight w:val="none"/>
        </w:rPr>
        <w:t>本年度无</w:t>
      </w:r>
      <w:r>
        <w:rPr>
          <w:rFonts w:hint="eastAsia" w:ascii="楷体" w:hAnsi="楷体" w:eastAsia="楷体" w:cs="楷体"/>
          <w:sz w:val="28"/>
          <w:szCs w:val="28"/>
          <w:highlight w:val="none"/>
          <w:lang w:eastAsia="zh-CN"/>
        </w:rPr>
        <w:t>收支及结转结余情况</w:t>
      </w:r>
      <w:r>
        <w:rPr>
          <w:rFonts w:hint="eastAsia" w:ascii="楷体" w:hAnsi="楷体" w:eastAsia="楷体" w:cs="楷体"/>
          <w:sz w:val="28"/>
          <w:szCs w:val="28"/>
          <w:highlight w:val="none"/>
        </w:rPr>
        <w:t>，按要求空表列示。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pPr>
    </w:p>
    <w:p>
      <w:pPr>
        <w:rPr>
          <w:rFonts w:hint="eastAsia" w:ascii="仿宋_GB2312" w:hAnsi="宋体" w:eastAsia="仿宋_GB2312"/>
          <w:b/>
          <w:color w:val="auto"/>
          <w:kern w:val="0"/>
          <w:sz w:val="32"/>
          <w:szCs w:val="32"/>
          <w:highlight w:val="none"/>
        </w:rPr>
      </w:pPr>
      <w:r>
        <w:rPr>
          <w:rFonts w:hint="eastAsia" w:ascii="仿宋_GB2312" w:hAnsi="宋体" w:eastAsia="仿宋_GB2312"/>
          <w:b/>
          <w:color w:val="auto"/>
          <w:kern w:val="0"/>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宋体" w:eastAsia="仿宋_GB2312"/>
          <w:b/>
          <w:color w:val="auto"/>
          <w:kern w:val="0"/>
          <w:sz w:val="32"/>
          <w:szCs w:val="32"/>
          <w:highlight w:val="none"/>
        </w:rPr>
        <w:sectPr>
          <w:headerReference r:id="rId8"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第三部分</w:t>
      </w:r>
      <w:r>
        <w:rPr>
          <w:rFonts w:ascii="Times New Roman" w:eastAsia="仿宋_GB2312"/>
          <w:b w:val="0"/>
          <w:sz w:val="44"/>
          <w:szCs w:val="44"/>
        </w:rPr>
        <w:t>2024</w:t>
      </w:r>
      <w:r>
        <w:rPr>
          <w:rFonts w:ascii="Times New Roman" w:eastAsia="黑体"/>
          <w:b w:val="0"/>
          <w:sz w:val="44"/>
          <w:szCs w:val="44"/>
        </w:rPr>
        <w:t>年度部门决算情况说明</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一、收入支出决算总体情况说明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本单位2024年度收、支总计（含结转和结余）均为482.74万元。与2023年度决算相比，收支各增加11.18万元，增长2.4%，主要原因是</w:t>
      </w:r>
      <w:r>
        <w:rPr>
          <w:rFonts w:hint="eastAsia" w:ascii="Times New Roman" w:eastAsia="仿宋_GB2312"/>
          <w:b w:val="0"/>
          <w:sz w:val="32"/>
          <w:szCs w:val="32"/>
          <w:lang w:eastAsia="zh-CN"/>
        </w:rPr>
        <w:t>人员工资及保险基数调整</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Arial" w:cs="Times New Roman"/>
          <w:highlight w:val="none"/>
        </w:rPr>
      </w:pPr>
      <w:r>
        <w:rPr>
          <w:rFonts w:hint="eastAsia" w:ascii="Times New Roman" w:hAnsi="Times New Roman" w:eastAsia="宋体"/>
        </w:rPr>
        <w:drawing>
          <wp:inline distT="0" distB="0" distL="114300" distR="114300">
            <wp:extent cx="5256530" cy="2988310"/>
            <wp:effectExtent l="5080" t="4445" r="889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Pr>
          <w:rFonts w:hint="default" w:ascii="Times New Roman" w:hAnsi="Times New Roman" w:eastAsia="Arial" w:cs="Times New Roman"/>
          <w:i w:val="0"/>
          <w:iCs w:val="0"/>
          <w:caps w:val="0"/>
          <w:color w:val="000000"/>
          <w:spacing w:val="0"/>
          <w:sz w:val="18"/>
          <w:szCs w:val="18"/>
          <w:highlight w:val="none"/>
          <w:shd w:val="clear" w:fill="FFFFFF"/>
        </w:rPr>
        <w:t> </w:t>
      </w:r>
    </w:p>
    <w:p>
      <w:pPr>
        <w:widowControl/>
        <w:spacing w:before="0" w:beforeLines="0" w:beforeAutospacing="0" w:after="0" w:afterLines="0" w:afterAutospacing="0" w:line="360" w:lineRule="auto"/>
        <w:jc w:val="left"/>
        <w:outlineLvl w:val="1"/>
        <w:rPr>
          <w:rFonts w:ascii="Times New Roman" w:eastAsia="黑体"/>
          <w:sz w:val="32"/>
          <w:szCs w:val="32"/>
        </w:rPr>
      </w:pPr>
      <w:r>
        <w:rPr>
          <w:rFonts w:ascii="Times New Roman" w:eastAsia="黑体"/>
          <w:b w:val="0"/>
          <w:sz w:val="32"/>
          <w:szCs w:val="32"/>
        </w:rPr>
        <w:t>二、收入决算情况说明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本单位2024年度本年收入合计482.74万元，其中：财政拨款收入482.74万元，占10</w:t>
      </w:r>
      <w:r>
        <w:rPr>
          <w:rFonts w:hint="eastAsia" w:ascii="Times New Roman" w:eastAsia="仿宋_GB2312"/>
          <w:b w:val="0"/>
          <w:sz w:val="32"/>
          <w:szCs w:val="32"/>
          <w:lang w:eastAsia="zh-CN"/>
        </w:rPr>
        <w:t>0%</w:t>
      </w:r>
      <w:r>
        <w:rPr>
          <w:rFonts w:ascii="Times New Roman" w:eastAsia="仿宋_GB2312"/>
          <w:b w:val="0"/>
          <w:sz w:val="32"/>
          <w:szCs w:val="32"/>
        </w:rPr>
        <w:t>；上级补助收入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；事业收入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；附属单位上缴收入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；其他收入</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w:t>
      </w:r>
    </w:p>
    <w:p>
      <w:pPr>
        <w:adjustRightInd w:val="0"/>
        <w:snapToGrid w:val="0"/>
        <w:spacing w:line="580" w:lineRule="exact"/>
        <w:jc w:val="both"/>
        <w:rPr>
          <w:rFonts w:ascii="Times New Roman" w:eastAsia="黑体"/>
          <w:sz w:val="32"/>
          <w:szCs w:val="32"/>
        </w:rPr>
      </w:pPr>
      <w:r>
        <w:rPr>
          <w:rFonts w:ascii="Times New Roman" w:hAnsi="Times New Roman" w:eastAsia="仿宋_GB2312"/>
          <w:kern w:val="2"/>
          <w:sz w:val="32"/>
          <w:szCs w:val="32"/>
          <w:highlight w:val="yellow"/>
          <w:lang w:val="zh-CN"/>
        </w:rPr>
        <w:drawing>
          <wp:anchor distT="0" distB="0" distL="114300" distR="114300" simplePos="0" relativeHeight="251661312" behindDoc="0" locked="0" layoutInCell="1" allowOverlap="1">
            <wp:simplePos x="0" y="0"/>
            <wp:positionH relativeFrom="column">
              <wp:posOffset>-16510</wp:posOffset>
            </wp:positionH>
            <wp:positionV relativeFrom="paragraph">
              <wp:posOffset>201930</wp:posOffset>
            </wp:positionV>
            <wp:extent cx="5151755" cy="2711450"/>
            <wp:effectExtent l="4445" t="4445" r="6350" b="825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eastAsia="黑体"/>
          <w:b w:val="0"/>
          <w:sz w:val="32"/>
          <w:szCs w:val="32"/>
        </w:rPr>
        <w:t>三、支出决算情况说明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本单位2024年度本年支出合计482.74万元，其中：基本支出482.74万元，占10</w:t>
      </w:r>
      <w:r>
        <w:rPr>
          <w:rFonts w:hint="eastAsia" w:ascii="Times New Roman" w:eastAsia="仿宋_GB2312"/>
          <w:b w:val="0"/>
          <w:sz w:val="32"/>
          <w:szCs w:val="32"/>
          <w:lang w:eastAsia="zh-CN"/>
        </w:rPr>
        <w:t>0%</w:t>
      </w:r>
      <w:r>
        <w:rPr>
          <w:rFonts w:ascii="Times New Roman" w:eastAsia="仿宋_GB2312"/>
          <w:b w:val="0"/>
          <w:sz w:val="32"/>
          <w:szCs w:val="32"/>
        </w:rPr>
        <w:t>；项目支出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；上缴上级支出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；经营支出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；对附属单位补助支出</w:t>
      </w:r>
      <w:r>
        <w:rPr>
          <w:rFonts w:hint="eastAsia" w:ascii="Times New Roman" w:eastAsia="仿宋_GB2312"/>
          <w:b w:val="0"/>
          <w:sz w:val="32"/>
          <w:szCs w:val="32"/>
          <w:lang w:eastAsia="zh-CN"/>
        </w:rPr>
        <w:t>0万元</w:t>
      </w:r>
      <w:r>
        <w:rPr>
          <w:rFonts w:ascii="Times New Roman" w:eastAsia="仿宋_GB2312"/>
          <w:b w:val="0"/>
          <w:sz w:val="32"/>
          <w:szCs w:val="32"/>
        </w:rPr>
        <w:t>，占</w:t>
      </w:r>
      <w:r>
        <w:rPr>
          <w:rFonts w:hint="eastAsia" w:ascii="Times New Roman" w:eastAsia="仿宋_GB2312"/>
          <w:b w:val="0"/>
          <w:sz w:val="32"/>
          <w:szCs w:val="32"/>
          <w:lang w:eastAsia="zh-CN"/>
        </w:rPr>
        <w:t>0%</w:t>
      </w:r>
      <w:r>
        <w:rPr>
          <w:rFonts w:ascii="Times New Roman" w:eastAsia="仿宋_GB2312"/>
          <w:b w:val="0"/>
          <w:sz w:val="32"/>
          <w:szCs w:val="32"/>
        </w:rPr>
        <w:t>。</w:t>
      </w:r>
    </w:p>
    <w:p>
      <w:pPr>
        <w:autoSpaceDE w:val="0"/>
        <w:autoSpaceDN w:val="0"/>
        <w:adjustRightInd w:val="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cs="Times New Roman"/>
          <w:sz w:val="32"/>
          <w:szCs w:val="32"/>
          <w:highlight w:val="none"/>
        </w:rPr>
        <w:drawing>
          <wp:inline distT="0" distB="0" distL="114300" distR="114300">
            <wp:extent cx="5180330" cy="2711450"/>
            <wp:effectExtent l="4445" t="4445" r="15875" b="825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四、财政拨款收入支出决算总体情况说明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（一）财政拨款收支与</w:t>
      </w:r>
      <w:r>
        <w:rPr>
          <w:rFonts w:ascii="Times New Roman" w:eastAsia="仿宋_GB2312"/>
          <w:b/>
          <w:sz w:val="32"/>
          <w:szCs w:val="32"/>
        </w:rPr>
        <w:t>2023</w:t>
      </w:r>
      <w:r>
        <w:rPr>
          <w:rFonts w:ascii="Times New Roman" w:eastAsia="楷体_GB2312"/>
          <w:b/>
          <w:sz w:val="32"/>
          <w:szCs w:val="32"/>
        </w:rPr>
        <w:t>年度决算对比情况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本单位2024年度财政拨款收、支总计（含结转和结余）均为482.74万元。与2023年度相比，财政拨款收支各增加11.18万元，增长2.4%，主要原因是</w:t>
      </w:r>
      <w:r>
        <w:rPr>
          <w:rFonts w:hint="eastAsia" w:ascii="Times New Roman" w:eastAsia="仿宋_GB2312"/>
          <w:b w:val="0"/>
          <w:sz w:val="32"/>
          <w:szCs w:val="32"/>
          <w:lang w:eastAsia="zh-CN"/>
        </w:rPr>
        <w:t>人员工资及保险基数调整</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本单位2024年度财政拨款本年收入482.74万元,比上年增加11.18万元，增长2.4%，主要原因是</w:t>
      </w:r>
      <w:r>
        <w:rPr>
          <w:rFonts w:hint="eastAsia" w:ascii="Times New Roman" w:eastAsia="仿宋_GB2312"/>
          <w:b w:val="0"/>
          <w:sz w:val="32"/>
          <w:szCs w:val="32"/>
          <w:lang w:eastAsia="zh-CN"/>
        </w:rPr>
        <w:t>人员工资及保险基数调整</w:t>
      </w:r>
      <w:r>
        <w:rPr>
          <w:rFonts w:ascii="Times New Roman" w:eastAsia="仿宋_GB2312"/>
          <w:b w:val="0"/>
          <w:sz w:val="32"/>
          <w:szCs w:val="32"/>
        </w:rPr>
        <w:t>；本年支出482.74万元，比上年增加11.18万元，增长2.4%，主要原因是</w:t>
      </w:r>
      <w:r>
        <w:rPr>
          <w:rFonts w:hint="eastAsia" w:ascii="Times New Roman" w:eastAsia="仿宋_GB2312"/>
          <w:b w:val="0"/>
          <w:sz w:val="32"/>
          <w:szCs w:val="32"/>
          <w:lang w:eastAsia="zh-CN"/>
        </w:rPr>
        <w:t>人员工资及保险基数调整</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outlineLvl w:val="1"/>
        <w:rPr>
          <w:rFonts w:ascii="Times New Roman" w:eastAsia="仿宋_GB2312"/>
          <w:sz w:val="32"/>
          <w:szCs w:val="32"/>
        </w:rPr>
      </w:pPr>
      <w:r>
        <w:rPr>
          <w:rFonts w:ascii="Times New Roman" w:eastAsia="仿宋_GB2312"/>
          <w:b w:val="0"/>
          <w:sz w:val="32"/>
          <w:szCs w:val="32"/>
        </w:rPr>
        <w:t>1.一般公共预算财政拨款本年收入482.74万元,比上年增加11.18万元，增长2.4%，主要原因是</w:t>
      </w:r>
      <w:r>
        <w:rPr>
          <w:rFonts w:hint="eastAsia" w:ascii="Times New Roman" w:eastAsia="仿宋_GB2312"/>
          <w:b w:val="0"/>
          <w:sz w:val="32"/>
          <w:szCs w:val="32"/>
          <w:lang w:eastAsia="zh-CN"/>
        </w:rPr>
        <w:t>人员工资及保险基数调整</w:t>
      </w:r>
      <w:r>
        <w:rPr>
          <w:rFonts w:ascii="Times New Roman" w:eastAsia="仿宋_GB2312"/>
          <w:b w:val="0"/>
          <w:sz w:val="32"/>
          <w:szCs w:val="32"/>
        </w:rPr>
        <w:t>；本年支出482.74万元，比上年增加11.18万元，增长2.4%，主要原因是</w:t>
      </w:r>
      <w:r>
        <w:rPr>
          <w:rFonts w:hint="eastAsia" w:ascii="Times New Roman" w:eastAsia="仿宋_GB2312"/>
          <w:b w:val="0"/>
          <w:sz w:val="32"/>
          <w:szCs w:val="32"/>
          <w:lang w:eastAsia="zh-CN"/>
        </w:rPr>
        <w:t>人员工资及保险基数调整</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本年度及上年度均无政府性基金预算财政拨款收入</w:t>
      </w:r>
      <w:r>
        <w:rPr>
          <w:rFonts w:ascii="Times New Roman" w:eastAsia="仿宋_GB2312"/>
          <w:b w:val="0"/>
          <w:sz w:val="32"/>
          <w:szCs w:val="32"/>
        </w:rPr>
        <w:t>；本年支出</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ascii="Times New Roman" w:hAnsi="Times New Roman" w:eastAsia="仿宋_GB2312" w:cs="Times New Roman"/>
          <w:kern w:val="2"/>
          <w:sz w:val="32"/>
          <w:szCs w:val="32"/>
          <w:lang w:val="zh-CN"/>
        </w:rPr>
        <w:t>主要是</w:t>
      </w:r>
      <w:r>
        <w:rPr>
          <w:rFonts w:hint="eastAsia" w:ascii="仿宋_GB2312" w:hAnsi="仿宋_GB2312" w:eastAsia="仿宋_GB2312" w:cs="仿宋_GB2312"/>
          <w:sz w:val="33"/>
          <w:szCs w:val="33"/>
        </w:rPr>
        <w:t>本年度及上年度均无政府性基金预算财政拨款收入</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本年度及上年度均无国有资本经营预算财政拨款收入</w:t>
      </w:r>
      <w:r>
        <w:rPr>
          <w:rFonts w:ascii="Times New Roman" w:eastAsia="仿宋_GB2312"/>
          <w:b w:val="0"/>
          <w:sz w:val="32"/>
          <w:szCs w:val="32"/>
        </w:rPr>
        <w:t>；本年支出</w:t>
      </w:r>
      <w:r>
        <w:rPr>
          <w:rFonts w:hint="eastAsia" w:ascii="Times New Roman" w:eastAsia="仿宋_GB2312"/>
          <w:b w:val="0"/>
          <w:sz w:val="32"/>
          <w:szCs w:val="32"/>
          <w:lang w:eastAsia="zh-CN"/>
        </w:rPr>
        <w:t>0万元</w:t>
      </w:r>
      <w:r>
        <w:rPr>
          <w:rFonts w:ascii="Times New Roman" w:eastAsia="仿宋_GB2312"/>
          <w:b w:val="0"/>
          <w:sz w:val="32"/>
          <w:szCs w:val="32"/>
        </w:rPr>
        <w:t>，比上年增加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本年度及上年度均无国有资本经营预算财政拨款收入</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sz w:val="32"/>
          <w:szCs w:val="32"/>
        </w:rPr>
        <w:drawing>
          <wp:inline distT="0" distB="0" distL="114300" distR="114300">
            <wp:extent cx="5558790" cy="3388360"/>
            <wp:effectExtent l="5080" t="4445" r="17780" b="1714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（二）财政拨款收支与年初预算数对比情况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本单位2024年度财政拨款本年收入482.74万元，完成年初预算的87.5%，比年初预算减少69.25万元，决算数小于预算数主要原因是</w:t>
      </w:r>
      <w:r>
        <w:rPr>
          <w:rFonts w:hint="eastAsia" w:ascii="Times New Roman" w:eastAsia="仿宋_GB2312"/>
          <w:b w:val="0"/>
          <w:sz w:val="32"/>
          <w:szCs w:val="32"/>
          <w:lang w:eastAsia="zh-CN"/>
        </w:rPr>
        <w:t>年度考核奖未发放及保险基数的调整</w:t>
      </w:r>
      <w:r>
        <w:rPr>
          <w:rFonts w:ascii="Times New Roman" w:eastAsia="仿宋_GB2312"/>
          <w:b w:val="0"/>
          <w:sz w:val="32"/>
          <w:szCs w:val="32"/>
        </w:rPr>
        <w:t>；本年支出482.74万元，完成年初预算的87.5%，比年初预算减少69.25万元，决算数小于预算数主要原因是</w:t>
      </w:r>
      <w:r>
        <w:rPr>
          <w:rFonts w:hint="eastAsia" w:ascii="Times New Roman" w:eastAsia="仿宋_GB2312"/>
          <w:b w:val="0"/>
          <w:sz w:val="32"/>
          <w:szCs w:val="32"/>
          <w:lang w:eastAsia="zh-CN"/>
        </w:rPr>
        <w:t>年度考核奖未发放及保险基数的调整</w:t>
      </w:r>
      <w:r>
        <w:rPr>
          <w:rFonts w:ascii="Times New Roman" w:eastAsia="仿宋_GB2312"/>
          <w:b w:val="0"/>
          <w:sz w:val="32"/>
          <w:szCs w:val="32"/>
        </w:rPr>
        <w:t>。具体情况如下：</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1.一般公共预算财政拨款本年收入完成年初预算的87.5%，比年初预算减少69.25万元，主要原因是</w:t>
      </w:r>
      <w:r>
        <w:rPr>
          <w:rFonts w:hint="eastAsia" w:ascii="Times New Roman" w:eastAsia="仿宋_GB2312"/>
          <w:b w:val="0"/>
          <w:sz w:val="32"/>
          <w:szCs w:val="32"/>
          <w:lang w:eastAsia="zh-CN"/>
        </w:rPr>
        <w:t>年度考核奖未发放及保险基数的调整</w:t>
      </w:r>
      <w:r>
        <w:rPr>
          <w:rFonts w:ascii="Times New Roman" w:eastAsia="仿宋_GB2312"/>
          <w:b w:val="0"/>
          <w:sz w:val="32"/>
          <w:szCs w:val="32"/>
        </w:rPr>
        <w:t>；支出完成年初预算的87.5%，比年初预算减少69.25万元，主要原因是</w:t>
      </w:r>
      <w:r>
        <w:rPr>
          <w:rFonts w:hint="eastAsia" w:ascii="Times New Roman" w:eastAsia="仿宋_GB2312"/>
          <w:b w:val="0"/>
          <w:sz w:val="32"/>
          <w:szCs w:val="32"/>
          <w:lang w:eastAsia="zh-CN"/>
        </w:rPr>
        <w:t>年度考核奖未发放及保险基数的调整</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2.政府性基金预算财政拨款本年收入完成年初预算的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本年度及上年度均无政府性基金预算财政拨款收入</w:t>
      </w:r>
      <w:r>
        <w:rPr>
          <w:rFonts w:ascii="Times New Roman" w:eastAsia="仿宋_GB2312"/>
          <w:b w:val="0"/>
          <w:sz w:val="32"/>
          <w:szCs w:val="32"/>
        </w:rPr>
        <w:t>；支出完成年初预算的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本年度及上年度均无政府性基金预算财政拨款收入</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3.国有资本经营预算财政拨款本年收入完成年初预算的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本年度及上年度均无国有资本经营预算财政拨款收入</w:t>
      </w:r>
      <w:r>
        <w:rPr>
          <w:rFonts w:ascii="Times New Roman" w:eastAsia="仿宋_GB2312"/>
          <w:b w:val="0"/>
          <w:sz w:val="32"/>
          <w:szCs w:val="32"/>
        </w:rPr>
        <w:t>；支出完成年初预算的</w:t>
      </w:r>
      <w:r>
        <w:rPr>
          <w:rFonts w:hint="eastAsia" w:ascii="Times New Roman" w:eastAsia="仿宋_GB2312"/>
          <w:b w:val="0"/>
          <w:sz w:val="32"/>
          <w:szCs w:val="32"/>
          <w:lang w:eastAsia="zh-CN"/>
        </w:rPr>
        <w:t>0%</w:t>
      </w:r>
      <w:r>
        <w:rPr>
          <w:rFonts w:ascii="Times New Roman" w:eastAsia="仿宋_GB2312"/>
          <w:b w:val="0"/>
          <w:sz w:val="32"/>
          <w:szCs w:val="32"/>
        </w:rPr>
        <w:t>，比年初预算增加</w:t>
      </w:r>
      <w:r>
        <w:rPr>
          <w:rFonts w:hint="eastAsia" w:ascii="Times New Roman" w:eastAsia="仿宋_GB2312"/>
          <w:b w:val="0"/>
          <w:sz w:val="32"/>
          <w:szCs w:val="32"/>
          <w:lang w:eastAsia="zh-CN"/>
        </w:rPr>
        <w:t>0万元</w:t>
      </w:r>
      <w:r>
        <w:rPr>
          <w:rFonts w:ascii="Times New Roman" w:eastAsia="仿宋_GB2312"/>
          <w:b w:val="0"/>
          <w:sz w:val="32"/>
          <w:szCs w:val="32"/>
        </w:rPr>
        <w:t>，主要原因是</w:t>
      </w:r>
      <w:r>
        <w:rPr>
          <w:rFonts w:hint="eastAsia" w:ascii="仿宋_GB2312" w:hAnsi="仿宋_GB2312" w:eastAsia="仿宋_GB2312" w:cs="仿宋_GB2312"/>
          <w:sz w:val="33"/>
          <w:szCs w:val="33"/>
        </w:rPr>
        <w:t>本年度及上年度均无国有资本经营预算财政拨款收入</w:t>
      </w:r>
      <w:r>
        <w:rPr>
          <w:rFonts w:ascii="Times New Roman" w:eastAsia="仿宋_GB2312"/>
          <w:b w:val="0"/>
          <w:sz w:val="32"/>
          <w:szCs w:val="32"/>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Arial" w:cs="Times New Roman"/>
          <w:highlight w:val="none"/>
        </w:rPr>
      </w:pP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仿宋_GB2312" w:cs="Times New Roman"/>
          <w:color w:val="auto"/>
          <w:kern w:val="0"/>
          <w:sz w:val="32"/>
          <w:szCs w:val="32"/>
          <w:highlight w:val="none"/>
          <w:lang w:val="en-US" w:eastAsia="zh-CN" w:bidi="ar-SA"/>
        </w:rPr>
      </w:pPr>
      <w:r>
        <w:rPr>
          <w:rFonts w:ascii="Times New Roman" w:hAnsi="Times New Roman" w:eastAsia="仿宋_GB2312"/>
          <w:sz w:val="32"/>
          <w:szCs w:val="32"/>
          <w:highlight w:val="none"/>
        </w:rPr>
        <w:drawing>
          <wp:inline distT="0" distB="0" distL="114300" distR="114300">
            <wp:extent cx="5256530" cy="2988310"/>
            <wp:effectExtent l="5080" t="4445" r="8890" b="1714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（三）财政拨款支出决算结构情况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2024年度财政拨款支出482.74万元，主要用于以下方面：</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一般公共预算财政拨款支出：</w:t>
      </w:r>
    </w:p>
    <w:p>
      <w:pPr>
        <w:widowControl/>
        <w:spacing w:before="0" w:beforeLines="0" w:beforeAutospacing="0" w:after="0" w:afterLines="0" w:afterAutospacing="0" w:line="360" w:lineRule="auto"/>
        <w:ind w:firstLine="640" w:firstLineChars="200"/>
        <w:jc w:val="left"/>
        <w:rPr>
          <w:rFonts w:ascii="Times New Roman" w:eastAsia="仿宋_GB2312"/>
          <w:b w:val="0"/>
          <w:sz w:val="32"/>
          <w:szCs w:val="32"/>
        </w:rPr>
      </w:pPr>
      <w:r>
        <w:rPr>
          <w:rFonts w:ascii="Times New Roman" w:eastAsia="仿宋_GB2312"/>
          <w:b w:val="0"/>
          <w:sz w:val="32"/>
          <w:szCs w:val="32"/>
        </w:rPr>
        <w:t>社会保障和就业（类）支出43.78万元，占9.1%，主要用于</w:t>
      </w:r>
      <w:r>
        <w:rPr>
          <w:rFonts w:hint="eastAsia" w:ascii="仿宋_GB2312" w:hAnsi="Times New Roman" w:eastAsia="仿宋_GB2312" w:cs="Wingdings"/>
          <w:sz w:val="32"/>
          <w:szCs w:val="32"/>
          <w:highlight w:val="none"/>
          <w:lang w:val="en-US" w:eastAsia="zh-CN"/>
        </w:rPr>
        <w:t>单位职工缴纳的基本养老保险费、职业年金、其他社会保障费的支出</w:t>
      </w:r>
      <w:r>
        <w:rPr>
          <w:rFonts w:ascii="Times New Roman" w:eastAsia="仿宋_GB2312"/>
          <w:b w:val="0"/>
          <w:sz w:val="32"/>
          <w:szCs w:val="32"/>
        </w:rPr>
        <w:t>；卫生健康（类）支出6.24万元，占1.3%，主要</w:t>
      </w:r>
      <w:r>
        <w:rPr>
          <w:rFonts w:hint="eastAsia" w:ascii="仿宋_GB2312" w:hAnsi="Times New Roman" w:eastAsia="仿宋_GB2312" w:cs="Wingdings"/>
          <w:sz w:val="32"/>
          <w:szCs w:val="32"/>
          <w:lang w:val="en-US" w:eastAsia="zh-CN"/>
        </w:rPr>
        <w:t>用于单位职工医疗保险支出</w:t>
      </w:r>
      <w:r>
        <w:rPr>
          <w:rFonts w:ascii="Times New Roman" w:eastAsia="仿宋_GB2312"/>
          <w:b w:val="0"/>
          <w:sz w:val="32"/>
          <w:szCs w:val="32"/>
        </w:rPr>
        <w:t>；节能环保（类）支出420.25万元，占87.1%，主要</w:t>
      </w:r>
      <w:r>
        <w:rPr>
          <w:rFonts w:hint="eastAsia" w:ascii="仿宋_GB2312" w:hAnsi="Times New Roman" w:eastAsia="仿宋_GB2312" w:cs="Wingdings"/>
          <w:sz w:val="32"/>
          <w:szCs w:val="32"/>
          <w:lang w:val="en-US" w:eastAsia="zh-CN"/>
        </w:rPr>
        <w:t>用于单位人员经费及社会保障经费、事业发展经费支出</w:t>
      </w:r>
      <w:r>
        <w:rPr>
          <w:rFonts w:ascii="Times New Roman" w:eastAsia="仿宋_GB2312"/>
          <w:b w:val="0"/>
          <w:sz w:val="32"/>
          <w:szCs w:val="32"/>
        </w:rPr>
        <w:t>；住房保障（类）支出12.47万元，占2.6%，主要用于</w:t>
      </w:r>
      <w:r>
        <w:rPr>
          <w:rFonts w:hint="eastAsia" w:ascii="仿宋_GB2312" w:hAnsi="Times New Roman" w:eastAsia="仿宋_GB2312" w:cs="Wingdings"/>
          <w:sz w:val="32"/>
          <w:szCs w:val="32"/>
          <w:lang w:val="en-US" w:eastAsia="zh-CN"/>
        </w:rPr>
        <w:t>单位职工住房公积金</w:t>
      </w:r>
      <w:r>
        <w:rPr>
          <w:rFonts w:ascii="Times New Roman" w:eastAsia="仿宋_GB2312"/>
          <w:b w:val="0"/>
          <w:sz w:val="32"/>
          <w:szCs w:val="32"/>
        </w:rPr>
        <w:t>支出。</w:t>
      </w:r>
    </w:p>
    <w:p>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eastAsia="zh-CN"/>
        </w:rPr>
      </w:pPr>
      <w:r>
        <w:rPr>
          <w:rFonts w:hint="eastAsia" w:ascii="Times New Roman" w:eastAsia="仿宋_GB2312"/>
          <w:b/>
          <w:bCs/>
          <w:sz w:val="32"/>
          <w:szCs w:val="32"/>
          <w:lang w:eastAsia="zh-CN"/>
        </w:rPr>
        <w:t>政府性基金预算财政拨款支出</w:t>
      </w:r>
      <w:r>
        <w:rPr>
          <w:rFonts w:hint="eastAsia" w:ascii="Times New Roman" w:eastAsia="仿宋_GB2312"/>
          <w:b w:val="0"/>
          <w:sz w:val="32"/>
          <w:szCs w:val="32"/>
          <w:lang w:eastAsia="zh-CN"/>
        </w:rPr>
        <w:t>：本年度无政府性基金预算支出。</w:t>
      </w:r>
    </w:p>
    <w:p>
      <w:pPr>
        <w:widowControl/>
        <w:spacing w:before="0" w:beforeLines="0" w:beforeAutospacing="0" w:after="0" w:afterLines="0" w:afterAutospacing="0" w:line="360" w:lineRule="auto"/>
        <w:ind w:firstLine="643" w:firstLineChars="200"/>
        <w:jc w:val="left"/>
        <w:rPr>
          <w:rFonts w:hint="eastAsia" w:ascii="Times New Roman" w:eastAsia="仿宋_GB2312"/>
          <w:b w:val="0"/>
          <w:sz w:val="32"/>
          <w:szCs w:val="32"/>
          <w:lang w:eastAsia="zh-CN"/>
        </w:rPr>
      </w:pPr>
      <w:r>
        <w:rPr>
          <w:rFonts w:hint="eastAsia" w:ascii="Times New Roman" w:eastAsia="仿宋_GB2312"/>
          <w:b/>
          <w:bCs/>
          <w:sz w:val="32"/>
          <w:szCs w:val="32"/>
          <w:lang w:eastAsia="zh-CN"/>
        </w:rPr>
        <w:t>国有资本经营预算财政拨款支出</w:t>
      </w:r>
      <w:r>
        <w:rPr>
          <w:rFonts w:hint="eastAsia" w:ascii="Times New Roman" w:eastAsia="仿宋_GB2312"/>
          <w:b w:val="0"/>
          <w:sz w:val="32"/>
          <w:szCs w:val="32"/>
          <w:lang w:eastAsia="zh-CN"/>
        </w:rPr>
        <w:t>：本年度无国有资本经营预算财政拨款支出。</w:t>
      </w:r>
    </w:p>
    <w:p>
      <w:pPr>
        <w:widowControl/>
        <w:spacing w:before="0" w:beforeLines="0" w:beforeAutospacing="0" w:after="0" w:afterLines="0" w:afterAutospacing="0" w:line="360" w:lineRule="auto"/>
        <w:ind w:firstLine="640" w:firstLineChars="200"/>
        <w:jc w:val="left"/>
        <w:rPr>
          <w:rFonts w:hint="eastAsia" w:ascii="Times New Roman" w:eastAsia="仿宋_GB2312"/>
          <w:b w:val="0"/>
          <w:sz w:val="32"/>
          <w:szCs w:val="32"/>
          <w:lang w:eastAsia="zh-CN"/>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ind w:left="0" w:right="0"/>
        <w:jc w:val="left"/>
        <w:textAlignment w:val="auto"/>
        <w:rPr>
          <w:rFonts w:hint="default" w:ascii="Times New Roman" w:hAnsi="Times New Roman" w:eastAsia="仿宋_GB2312" w:cs="Times New Roman"/>
          <w:color w:val="auto"/>
          <w:kern w:val="2"/>
          <w:sz w:val="32"/>
          <w:szCs w:val="32"/>
          <w:lang w:val="zh-CN" w:eastAsia="zh-CN" w:bidi="ar-SA"/>
        </w:rPr>
      </w:pPr>
      <w:r>
        <w:rPr>
          <w:rFonts w:ascii="Times New Roman" w:hAnsi="Times New Roman" w:eastAsia="仿宋_GB2312"/>
          <w:kern w:val="2"/>
          <w:sz w:val="32"/>
          <w:szCs w:val="32"/>
          <w:lang w:val="zh-CN"/>
        </w:rPr>
        <w:drawing>
          <wp:inline distT="0" distB="0" distL="114300" distR="114300">
            <wp:extent cx="5859145" cy="2988310"/>
            <wp:effectExtent l="5080" t="4445" r="15875"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（四）一般公共预算基本支出决算情况说明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2024年度财政拨款基本支出482.74万元，其中：</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人员经费466.66万元，主要包括基本工资、津贴补贴、奖金、绩效工资、机关事业部门基本养老保险缴费、职业年金缴费、职工基本医疗保险缴费、住房公积金、医疗费、其他社会保障缴费、其他工资福利支出、退休费、生活补助、奖励金、其他对个人和家庭的补助支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公用经费16.08万元，主要包括电费、邮电费</w:t>
      </w:r>
      <w:r>
        <w:rPr>
          <w:rFonts w:hint="eastAsia" w:ascii="Times New Roman" w:eastAsia="仿宋_GB2312"/>
          <w:b w:val="0"/>
          <w:sz w:val="32"/>
          <w:szCs w:val="32"/>
          <w:lang w:eastAsia="zh-CN"/>
        </w:rPr>
        <w:t>、</w:t>
      </w:r>
      <w:r>
        <w:rPr>
          <w:rFonts w:ascii="Times New Roman" w:eastAsia="仿宋_GB2312"/>
          <w:b w:val="0"/>
          <w:sz w:val="32"/>
          <w:szCs w:val="32"/>
        </w:rPr>
        <w:t>工会经费、福利费支出。</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五、财政拨款“三公”经费支出决算情况说明</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（一）“三公”经费财政拨款支出决算总体情况说明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本单位2024年度“三公”经费财政拨款支出预算为</w:t>
      </w:r>
      <w:r>
        <w:rPr>
          <w:rFonts w:hint="eastAsia" w:ascii="Times New Roman" w:eastAsia="仿宋_GB2312"/>
          <w:b w:val="0"/>
          <w:sz w:val="32"/>
          <w:szCs w:val="32"/>
          <w:lang w:eastAsia="zh-CN"/>
        </w:rPr>
        <w:t>0万元</w:t>
      </w:r>
      <w:r>
        <w:rPr>
          <w:rFonts w:ascii="Times New Roman" w:eastAsia="仿宋_GB2312"/>
          <w:b w:val="0"/>
          <w:sz w:val="32"/>
          <w:szCs w:val="32"/>
        </w:rPr>
        <w:t>，支出决算为</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未发生“三公”经费</w:t>
      </w:r>
      <w:r>
        <w:rPr>
          <w:rFonts w:hint="eastAsia" w:ascii="仿宋_GB2312" w:eastAsia="仿宋_GB2312" w:cs="DengXian-Regular"/>
          <w:sz w:val="32"/>
          <w:szCs w:val="32"/>
          <w:lang w:eastAsia="zh-CN"/>
        </w:rPr>
        <w:t>支出</w:t>
      </w:r>
      <w:r>
        <w:rPr>
          <w:rFonts w:ascii="Times New Roman" w:eastAsia="仿宋_GB2312"/>
          <w:b w:val="0"/>
          <w:sz w:val="32"/>
          <w:szCs w:val="32"/>
        </w:rPr>
        <w:t>；较2023年度决算增加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未发生“三公”经费</w:t>
      </w:r>
      <w:r>
        <w:rPr>
          <w:rFonts w:hint="eastAsia" w:ascii="仿宋_GB2312" w:eastAsia="仿宋_GB2312" w:cs="DengXian-Regular"/>
          <w:sz w:val="32"/>
          <w:szCs w:val="32"/>
          <w:lang w:eastAsia="zh-CN"/>
        </w:rPr>
        <w:t>支出</w:t>
      </w:r>
      <w:r>
        <w:rPr>
          <w:rFonts w:ascii="Times New Roman" w:eastAsia="仿宋_GB2312"/>
          <w:b w:val="0"/>
          <w:sz w:val="32"/>
          <w:szCs w:val="32"/>
        </w:rPr>
        <w:t>。</w:t>
      </w:r>
    </w:p>
    <w:p>
      <w:pPr>
        <w:widowControl/>
        <w:spacing w:before="0" w:beforeLines="0" w:beforeAutospacing="0" w:after="0" w:afterLines="0" w:afterAutospacing="0" w:line="360" w:lineRule="auto"/>
        <w:ind w:firstLine="643" w:firstLineChars="200"/>
        <w:jc w:val="left"/>
        <w:rPr>
          <w:rFonts w:ascii="Times New Roman" w:eastAsia="楷体_GB2312"/>
          <w:sz w:val="32"/>
          <w:szCs w:val="32"/>
        </w:rPr>
      </w:pPr>
      <w:r>
        <w:rPr>
          <w:rFonts w:ascii="Times New Roman" w:eastAsia="楷体_GB2312"/>
          <w:b/>
          <w:sz w:val="32"/>
          <w:szCs w:val="32"/>
        </w:rPr>
        <w:t>（二）“三公”经费财政拨款支出决算具体情况说明</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3" w:firstLineChars="200"/>
        <w:jc w:val="left"/>
        <w:rPr>
          <w:rFonts w:ascii="Times New Roman" w:eastAsia="仿宋_GB2312"/>
          <w:sz w:val="32"/>
          <w:szCs w:val="32"/>
        </w:rPr>
      </w:pPr>
      <w:r>
        <w:rPr>
          <w:rFonts w:ascii="Times New Roman" w:eastAsia="楷体_GB2312"/>
          <w:b/>
          <w:sz w:val="32"/>
          <w:szCs w:val="32"/>
        </w:rPr>
        <w:t>1.因公出国（境）费支出情况。</w:t>
      </w:r>
      <w:r>
        <w:rPr>
          <w:rFonts w:ascii="Times New Roman" w:eastAsia="仿宋_GB2312"/>
          <w:b w:val="0"/>
          <w:sz w:val="32"/>
          <w:szCs w:val="32"/>
        </w:rPr>
        <w:t>本单位2024年度因公出国（境）费支出预算为</w:t>
      </w:r>
      <w:r>
        <w:rPr>
          <w:rFonts w:hint="eastAsia" w:ascii="Times New Roman" w:eastAsia="仿宋_GB2312"/>
          <w:b w:val="0"/>
          <w:sz w:val="32"/>
          <w:szCs w:val="32"/>
          <w:lang w:eastAsia="zh-CN"/>
        </w:rPr>
        <w:t>0万元</w:t>
      </w:r>
      <w:r>
        <w:rPr>
          <w:rFonts w:ascii="Times New Roman" w:eastAsia="仿宋_GB2312"/>
          <w:b w:val="0"/>
          <w:sz w:val="32"/>
          <w:szCs w:val="32"/>
        </w:rPr>
        <w:t>,支出决算</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。因公出国（境）费支出较预算增加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bookmarkStart w:id="0" w:name="_GoBack"/>
      <w:bookmarkEnd w:id="0"/>
      <w:r>
        <w:rPr>
          <w:rFonts w:ascii="Times New Roman" w:eastAsia="仿宋_GB2312"/>
          <w:b w:val="0"/>
          <w:sz w:val="32"/>
          <w:szCs w:val="32"/>
        </w:rPr>
        <w:t>,主要原因是</w:t>
      </w:r>
      <w:r>
        <w:rPr>
          <w:rFonts w:hint="eastAsia" w:ascii="仿宋_GB2312" w:eastAsia="仿宋_GB2312" w:cs="DengXian-Regular"/>
          <w:sz w:val="32"/>
          <w:szCs w:val="32"/>
        </w:rPr>
        <w:t>未发生因公出国（境）费用</w:t>
      </w:r>
      <w:r>
        <w:rPr>
          <w:rFonts w:ascii="Times New Roman" w:eastAsia="仿宋_GB2312"/>
          <w:b w:val="0"/>
          <w:sz w:val="32"/>
          <w:szCs w:val="32"/>
        </w:rPr>
        <w:t>；较上年增加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未发生因公出国（境）费用</w:t>
      </w:r>
      <w:r>
        <w:rPr>
          <w:rFonts w:ascii="Times New Roman" w:eastAsia="仿宋_GB2312"/>
          <w:b w:val="0"/>
          <w:sz w:val="32"/>
          <w:szCs w:val="32"/>
        </w:rPr>
        <w:t>。因公出国（境）团组0个、共0人、参加其他单位组织的因公出国（境）团组</w:t>
      </w:r>
      <w:r>
        <w:rPr>
          <w:rFonts w:hint="eastAsia" w:ascii="Times New Roman" w:eastAsia="仿宋_GB2312"/>
          <w:b w:val="0"/>
          <w:sz w:val="32"/>
          <w:szCs w:val="32"/>
          <w:lang w:val="en-US" w:eastAsia="zh-CN"/>
        </w:rPr>
        <w:t>0</w:t>
      </w:r>
      <w:r>
        <w:rPr>
          <w:rFonts w:ascii="Times New Roman" w:eastAsia="仿宋_GB2312"/>
          <w:b w:val="0"/>
          <w:sz w:val="32"/>
          <w:szCs w:val="32"/>
        </w:rPr>
        <w:t>个、共</w:t>
      </w:r>
      <w:r>
        <w:rPr>
          <w:rFonts w:hint="eastAsia" w:ascii="Times New Roman" w:eastAsia="仿宋_GB2312"/>
          <w:b w:val="0"/>
          <w:sz w:val="32"/>
          <w:szCs w:val="32"/>
          <w:lang w:val="en-US" w:eastAsia="zh-CN"/>
        </w:rPr>
        <w:t>0</w:t>
      </w:r>
      <w:r>
        <w:rPr>
          <w:rFonts w:ascii="Times New Roman" w:eastAsia="仿宋_GB2312"/>
          <w:b w:val="0"/>
          <w:sz w:val="32"/>
          <w:szCs w:val="32"/>
        </w:rPr>
        <w:t>人/无本部门组织的出国（境）团组。</w:t>
      </w:r>
      <w:r>
        <w:rPr>
          <w:rFonts w:hint="eastAsia" w:ascii="Times New Roman" w:hAnsi="Times New Roman" w:eastAsia="仿宋_GB2312" w:cs="Times New Roman"/>
          <w:color w:val="auto"/>
          <w:kern w:val="2"/>
          <w:sz w:val="32"/>
          <w:szCs w:val="32"/>
          <w:lang w:val="en-US" w:eastAsia="zh-CN" w:bidi="ar-SA"/>
        </w:rPr>
        <w:t>与预算持平，与2023年度决算支出持平。</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楷体_GB2312"/>
          <w:b/>
          <w:sz w:val="32"/>
          <w:szCs w:val="32"/>
        </w:rPr>
        <w:t>2.公务用车购置及运行维护费支出情况。</w:t>
      </w:r>
      <w:r>
        <w:rPr>
          <w:rFonts w:ascii="Times New Roman" w:eastAsia="仿宋_GB2312"/>
          <w:b w:val="0"/>
          <w:sz w:val="32"/>
          <w:szCs w:val="32"/>
        </w:rPr>
        <w:t>本单位2024年度公务用车购置及运行维护费预算为</w:t>
      </w:r>
      <w:r>
        <w:rPr>
          <w:rFonts w:hint="eastAsia" w:ascii="Times New Roman" w:eastAsia="仿宋_GB2312"/>
          <w:b w:val="0"/>
          <w:sz w:val="32"/>
          <w:szCs w:val="32"/>
          <w:lang w:eastAsia="zh-CN"/>
        </w:rPr>
        <w:t>0万元</w:t>
      </w:r>
      <w:r>
        <w:rPr>
          <w:rFonts w:ascii="Times New Roman" w:eastAsia="仿宋_GB2312"/>
          <w:b w:val="0"/>
          <w:sz w:val="32"/>
          <w:szCs w:val="32"/>
        </w:rPr>
        <w:t>，支出决算</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未发生公务用车购置及运行维护费</w:t>
      </w:r>
      <w:r>
        <w:rPr>
          <w:rFonts w:ascii="Times New Roman" w:eastAsia="仿宋_GB2312"/>
          <w:b w:val="0"/>
          <w:sz w:val="32"/>
          <w:szCs w:val="32"/>
        </w:rPr>
        <w:t>；较上年增加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未发生公务用车购置及运行维护费</w:t>
      </w:r>
      <w:r>
        <w:rPr>
          <w:rFonts w:ascii="Times New Roman" w:eastAsia="仿宋_GB2312"/>
          <w:b w:val="0"/>
          <w:sz w:val="32"/>
          <w:szCs w:val="32"/>
        </w:rPr>
        <w:t>。其中：</w:t>
      </w:r>
    </w:p>
    <w:p>
      <w:pPr>
        <w:adjustRightInd w:val="0"/>
        <w:snapToGrid w:val="0"/>
        <w:spacing w:line="580" w:lineRule="exact"/>
        <w:ind w:firstLine="643" w:firstLineChars="200"/>
        <w:rPr>
          <w:rFonts w:ascii="Times New Roman" w:eastAsia="仿宋_GB2312"/>
          <w:sz w:val="32"/>
          <w:szCs w:val="32"/>
        </w:rPr>
      </w:pPr>
      <w:r>
        <w:rPr>
          <w:rFonts w:ascii="Times New Roman" w:eastAsia="仿宋_GB2312"/>
          <w:b/>
          <w:sz w:val="32"/>
          <w:szCs w:val="32"/>
        </w:rPr>
        <w:t>公务用车购置费支出</w:t>
      </w:r>
      <w:r>
        <w:rPr>
          <w:rFonts w:hint="eastAsia" w:ascii="Times New Roman" w:eastAsia="仿宋_GB2312"/>
          <w:b/>
          <w:sz w:val="32"/>
          <w:szCs w:val="32"/>
          <w:lang w:eastAsia="zh-CN"/>
        </w:rPr>
        <w:t>0万元</w:t>
      </w:r>
      <w:r>
        <w:rPr>
          <w:rFonts w:ascii="Times New Roman" w:eastAsia="仿宋_GB2312"/>
          <w:b/>
          <w:sz w:val="32"/>
          <w:szCs w:val="32"/>
        </w:rPr>
        <w:t>：</w:t>
      </w:r>
      <w:r>
        <w:rPr>
          <w:rFonts w:ascii="Times New Roman" w:eastAsia="仿宋_GB2312"/>
          <w:b w:val="0"/>
          <w:sz w:val="32"/>
          <w:szCs w:val="32"/>
        </w:rPr>
        <w:t>本单位2024年度公务用车购置量0辆，发生“公务用车购置”经费支出</w:t>
      </w:r>
      <w:r>
        <w:rPr>
          <w:rFonts w:hint="eastAsia" w:ascii="Times New Roman" w:eastAsia="仿宋_GB2312"/>
          <w:b w:val="0"/>
          <w:sz w:val="32"/>
          <w:szCs w:val="32"/>
          <w:lang w:eastAsia="zh-CN"/>
        </w:rPr>
        <w:t>0万元</w:t>
      </w:r>
      <w:r>
        <w:rPr>
          <w:rFonts w:ascii="Times New Roman" w:eastAsia="仿宋_GB2312"/>
          <w:b w:val="0"/>
          <w:sz w:val="32"/>
          <w:szCs w:val="32"/>
        </w:rPr>
        <w:t>。公务用车购置费支出较预算增加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未发生公务用车购置费</w:t>
      </w:r>
      <w:r>
        <w:rPr>
          <w:rFonts w:hint="eastAsia" w:ascii="仿宋_GB2312" w:eastAsia="仿宋_GB2312" w:cs="DengXian-Regular"/>
          <w:sz w:val="32"/>
          <w:szCs w:val="32"/>
          <w:lang w:eastAsia="zh-CN"/>
        </w:rPr>
        <w:t>支出</w:t>
      </w:r>
      <w:r>
        <w:rPr>
          <w:rFonts w:ascii="Times New Roman" w:eastAsia="仿宋_GB2312"/>
          <w:b w:val="0"/>
          <w:sz w:val="32"/>
          <w:szCs w:val="32"/>
        </w:rPr>
        <w:t>；较上年增加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未发生公务用车购置费</w:t>
      </w:r>
      <w:r>
        <w:rPr>
          <w:rFonts w:hint="eastAsia" w:ascii="仿宋_GB2312" w:eastAsia="仿宋_GB2312" w:cs="DengXian-Regular"/>
          <w:sz w:val="32"/>
          <w:szCs w:val="32"/>
          <w:lang w:eastAsia="zh-CN"/>
        </w:rPr>
        <w:t>支出</w:t>
      </w:r>
      <w:r>
        <w:rPr>
          <w:rFonts w:ascii="Times New Roman" w:eastAsia="仿宋_GB2312"/>
          <w:b w:val="0"/>
          <w:sz w:val="32"/>
          <w:szCs w:val="32"/>
        </w:rPr>
        <w:t>。</w:t>
      </w:r>
      <w:r>
        <w:rPr>
          <w:rFonts w:hint="eastAsia" w:ascii="Times New Roman" w:hAnsi="Times New Roman" w:eastAsia="仿宋_GB2312" w:cs="Times New Roman"/>
          <w:color w:val="auto"/>
          <w:kern w:val="2"/>
          <w:sz w:val="32"/>
          <w:szCs w:val="32"/>
          <w:lang w:val="en-US" w:eastAsia="zh-CN" w:bidi="ar-SA"/>
        </w:rPr>
        <w:t>与预算持平，与2023年度决算支出持平。</w:t>
      </w:r>
    </w:p>
    <w:p>
      <w:pPr>
        <w:adjustRightInd w:val="0"/>
        <w:snapToGrid w:val="0"/>
        <w:spacing w:line="580" w:lineRule="exact"/>
        <w:ind w:firstLine="643" w:firstLineChars="200"/>
        <w:rPr>
          <w:rFonts w:ascii="Times New Roman" w:eastAsia="仿宋_GB2312"/>
          <w:sz w:val="32"/>
          <w:szCs w:val="32"/>
        </w:rPr>
      </w:pPr>
      <w:r>
        <w:rPr>
          <w:rFonts w:ascii="Times New Roman" w:eastAsia="仿宋_GB2312"/>
          <w:b/>
          <w:sz w:val="32"/>
          <w:szCs w:val="32"/>
        </w:rPr>
        <w:t>公务用车运行维护费支出</w:t>
      </w:r>
      <w:r>
        <w:rPr>
          <w:rFonts w:hint="eastAsia" w:ascii="Times New Roman" w:eastAsia="仿宋_GB2312"/>
          <w:b/>
          <w:sz w:val="32"/>
          <w:szCs w:val="32"/>
          <w:lang w:eastAsia="zh-CN"/>
        </w:rPr>
        <w:t>0万元</w:t>
      </w:r>
      <w:r>
        <w:rPr>
          <w:rFonts w:ascii="Times New Roman" w:eastAsia="仿宋_GB2312"/>
          <w:b/>
          <w:sz w:val="32"/>
          <w:szCs w:val="32"/>
        </w:rPr>
        <w:t>：</w:t>
      </w:r>
      <w:r>
        <w:rPr>
          <w:rFonts w:ascii="Times New Roman" w:eastAsia="仿宋_GB2312"/>
          <w:b w:val="0"/>
          <w:sz w:val="32"/>
          <w:szCs w:val="32"/>
        </w:rPr>
        <w:t>本单位2024年度单位公务用车保有量0辆，发生运行维护费支出</w:t>
      </w:r>
      <w:r>
        <w:rPr>
          <w:rFonts w:hint="eastAsia" w:ascii="Times New Roman" w:eastAsia="仿宋_GB2312"/>
          <w:b w:val="0"/>
          <w:sz w:val="32"/>
          <w:szCs w:val="32"/>
          <w:lang w:eastAsia="zh-CN"/>
        </w:rPr>
        <w:t>0万元</w:t>
      </w:r>
      <w:r>
        <w:rPr>
          <w:rFonts w:ascii="Times New Roman" w:eastAsia="仿宋_GB2312"/>
          <w:b w:val="0"/>
          <w:sz w:val="32"/>
          <w:szCs w:val="32"/>
        </w:rPr>
        <w:t>。公车运行维护费支出较预算增加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未发生公务用车运行维护费支出</w:t>
      </w:r>
      <w:r>
        <w:rPr>
          <w:rFonts w:ascii="Times New Roman" w:eastAsia="仿宋_GB2312"/>
          <w:b w:val="0"/>
          <w:sz w:val="32"/>
          <w:szCs w:val="32"/>
        </w:rPr>
        <w:t>；较上年增加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未发生公务用车运行维护费支出</w:t>
      </w:r>
      <w:r>
        <w:rPr>
          <w:rFonts w:ascii="Times New Roman" w:eastAsia="仿宋_GB2312"/>
          <w:b w:val="0"/>
          <w:sz w:val="32"/>
          <w:szCs w:val="32"/>
        </w:rPr>
        <w:t>。</w:t>
      </w:r>
      <w:r>
        <w:rPr>
          <w:rFonts w:hint="eastAsia" w:ascii="Times New Roman" w:hAnsi="Times New Roman" w:eastAsia="仿宋_GB2312" w:cs="Times New Roman"/>
          <w:color w:val="auto"/>
          <w:kern w:val="2"/>
          <w:sz w:val="32"/>
          <w:szCs w:val="32"/>
          <w:lang w:val="en-US" w:eastAsia="zh-CN" w:bidi="ar-SA"/>
        </w:rPr>
        <w:t>与预算持平，与2023年度决算支出持平。</w:t>
      </w:r>
    </w:p>
    <w:p>
      <w:pPr>
        <w:adjustRightInd w:val="0"/>
        <w:snapToGrid w:val="0"/>
        <w:spacing w:line="580" w:lineRule="exact"/>
        <w:ind w:firstLine="643" w:firstLineChars="200"/>
        <w:rPr>
          <w:rFonts w:ascii="Times New Roman" w:eastAsia="仿宋_GB2312"/>
          <w:sz w:val="32"/>
          <w:szCs w:val="32"/>
        </w:rPr>
      </w:pPr>
      <w:r>
        <w:rPr>
          <w:rFonts w:ascii="Times New Roman" w:eastAsia="楷体_GB2312"/>
          <w:b/>
          <w:sz w:val="32"/>
          <w:szCs w:val="32"/>
        </w:rPr>
        <w:t>3.公务接待费支出情况。</w:t>
      </w:r>
      <w:r>
        <w:rPr>
          <w:rFonts w:ascii="Times New Roman" w:eastAsia="仿宋_GB2312"/>
          <w:b w:val="0"/>
          <w:sz w:val="32"/>
          <w:szCs w:val="32"/>
        </w:rPr>
        <w:t>本单位2024年度公务接待费支出预算为</w:t>
      </w:r>
      <w:r>
        <w:rPr>
          <w:rFonts w:hint="eastAsia" w:ascii="Times New Roman" w:eastAsia="仿宋_GB2312"/>
          <w:b w:val="0"/>
          <w:sz w:val="32"/>
          <w:szCs w:val="32"/>
          <w:lang w:eastAsia="zh-CN"/>
        </w:rPr>
        <w:t>0万元</w:t>
      </w:r>
      <w:r>
        <w:rPr>
          <w:rFonts w:ascii="Times New Roman" w:eastAsia="仿宋_GB2312"/>
          <w:b w:val="0"/>
          <w:sz w:val="32"/>
          <w:szCs w:val="32"/>
        </w:rPr>
        <w:t>，支出决算</w:t>
      </w:r>
      <w:r>
        <w:rPr>
          <w:rFonts w:hint="eastAsia" w:ascii="Times New Roman" w:eastAsia="仿宋_GB2312"/>
          <w:b w:val="0"/>
          <w:sz w:val="32"/>
          <w:szCs w:val="32"/>
          <w:lang w:eastAsia="zh-CN"/>
        </w:rPr>
        <w:t>0万元</w:t>
      </w:r>
      <w:r>
        <w:rPr>
          <w:rFonts w:ascii="Times New Roman" w:eastAsia="仿宋_GB2312"/>
          <w:b w:val="0"/>
          <w:sz w:val="32"/>
          <w:szCs w:val="32"/>
        </w:rPr>
        <w:t>，完成预算的</w:t>
      </w:r>
      <w:r>
        <w:rPr>
          <w:rFonts w:hint="eastAsia" w:ascii="Times New Roman" w:eastAsia="仿宋_GB2312"/>
          <w:b w:val="0"/>
          <w:sz w:val="32"/>
          <w:szCs w:val="32"/>
          <w:lang w:eastAsia="zh-CN"/>
        </w:rPr>
        <w:t>0%</w:t>
      </w:r>
      <w:r>
        <w:rPr>
          <w:rFonts w:ascii="Times New Roman" w:eastAsia="仿宋_GB2312"/>
          <w:b w:val="0"/>
          <w:sz w:val="32"/>
          <w:szCs w:val="32"/>
        </w:rPr>
        <w:t>。公务接待费支出较预算增加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未发生公务接待费支出</w:t>
      </w:r>
      <w:r>
        <w:rPr>
          <w:rFonts w:ascii="Times New Roman" w:eastAsia="仿宋_GB2312"/>
          <w:b w:val="0"/>
          <w:sz w:val="32"/>
          <w:szCs w:val="32"/>
        </w:rPr>
        <w:t>；较上年度增加</w:t>
      </w:r>
      <w:r>
        <w:rPr>
          <w:rFonts w:hint="eastAsia" w:ascii="Times New Roman" w:eastAsia="仿宋_GB2312"/>
          <w:b w:val="0"/>
          <w:sz w:val="32"/>
          <w:szCs w:val="32"/>
          <w:lang w:eastAsia="zh-CN"/>
        </w:rPr>
        <w:t>0万元</w:t>
      </w:r>
      <w:r>
        <w:rPr>
          <w:rFonts w:ascii="Times New Roman" w:eastAsia="仿宋_GB2312"/>
          <w:b w:val="0"/>
          <w:sz w:val="32"/>
          <w:szCs w:val="32"/>
        </w:rPr>
        <w:t>，增长</w:t>
      </w:r>
      <w:r>
        <w:rPr>
          <w:rFonts w:hint="eastAsia" w:ascii="Times New Roman" w:eastAsia="仿宋_GB2312"/>
          <w:b w:val="0"/>
          <w:sz w:val="32"/>
          <w:szCs w:val="32"/>
          <w:lang w:eastAsia="zh-CN"/>
        </w:rPr>
        <w:t>0%</w:t>
      </w:r>
      <w:r>
        <w:rPr>
          <w:rFonts w:ascii="Times New Roman" w:eastAsia="仿宋_GB2312"/>
          <w:b w:val="0"/>
          <w:sz w:val="32"/>
          <w:szCs w:val="32"/>
        </w:rPr>
        <w:t>,主要原因是</w:t>
      </w:r>
      <w:r>
        <w:rPr>
          <w:rFonts w:hint="eastAsia" w:ascii="仿宋_GB2312" w:eastAsia="仿宋_GB2312" w:cs="DengXian-Regular"/>
          <w:sz w:val="32"/>
          <w:szCs w:val="32"/>
        </w:rPr>
        <w:t>未发生公务接待费支出</w:t>
      </w:r>
      <w:r>
        <w:rPr>
          <w:rFonts w:ascii="Times New Roman" w:eastAsia="仿宋_GB2312"/>
          <w:b w:val="0"/>
          <w:sz w:val="32"/>
          <w:szCs w:val="32"/>
        </w:rPr>
        <w:t>。本年度共发生公务接待0批次、0人次。</w:t>
      </w:r>
      <w:r>
        <w:rPr>
          <w:rFonts w:hint="eastAsia" w:ascii="Times New Roman" w:hAnsi="Times New Roman" w:eastAsia="仿宋_GB2312" w:cs="Times New Roman"/>
          <w:color w:val="auto"/>
          <w:kern w:val="2"/>
          <w:sz w:val="32"/>
          <w:szCs w:val="32"/>
          <w:lang w:val="en-US" w:eastAsia="zh-CN" w:bidi="ar-SA"/>
        </w:rPr>
        <w:t>与预算持平，与2023年度决算支出持平。</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六、机关运行经费支出说明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本单位2024年度机关运行经费支出16.08万元，较2023年度增加5.40万元，增长50.6%。主要原因是</w:t>
      </w:r>
      <w:r>
        <w:rPr>
          <w:rFonts w:hint="eastAsia" w:ascii="Times New Roman" w:eastAsia="仿宋_GB2312"/>
          <w:b w:val="0"/>
          <w:sz w:val="32"/>
          <w:szCs w:val="32"/>
          <w:lang w:eastAsia="zh-CN"/>
        </w:rPr>
        <w:t>人员工资调整，工会经费、福利费提高。</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七、政府采购支出说明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本单位2024年度政府采购支出总额</w:t>
      </w:r>
      <w:r>
        <w:rPr>
          <w:rFonts w:hint="eastAsia" w:ascii="Times New Roman" w:eastAsia="仿宋_GB2312"/>
          <w:b w:val="0"/>
          <w:sz w:val="32"/>
          <w:szCs w:val="32"/>
          <w:lang w:eastAsia="zh-CN"/>
        </w:rPr>
        <w:t>0万元</w:t>
      </w:r>
      <w:r>
        <w:rPr>
          <w:rFonts w:ascii="Times New Roman" w:eastAsia="仿宋_GB2312"/>
          <w:b w:val="0"/>
          <w:sz w:val="32"/>
          <w:szCs w:val="32"/>
        </w:rPr>
        <w:t>，从采购类型来看，政府采购货物支出</w:t>
      </w:r>
      <w:r>
        <w:rPr>
          <w:rFonts w:hint="eastAsia" w:ascii="Times New Roman" w:eastAsia="仿宋_GB2312"/>
          <w:b w:val="0"/>
          <w:sz w:val="32"/>
          <w:szCs w:val="32"/>
          <w:lang w:eastAsia="zh-CN"/>
        </w:rPr>
        <w:t>0万元</w:t>
      </w:r>
      <w:r>
        <w:rPr>
          <w:rFonts w:ascii="Times New Roman" w:eastAsia="仿宋_GB2312"/>
          <w:b w:val="0"/>
          <w:sz w:val="32"/>
          <w:szCs w:val="32"/>
        </w:rPr>
        <w:t>、政府采购工程支出</w:t>
      </w:r>
      <w:r>
        <w:rPr>
          <w:rFonts w:hint="eastAsia" w:ascii="Times New Roman" w:eastAsia="仿宋_GB2312"/>
          <w:b w:val="0"/>
          <w:sz w:val="32"/>
          <w:szCs w:val="32"/>
          <w:lang w:eastAsia="zh-CN"/>
        </w:rPr>
        <w:t>0万元</w:t>
      </w:r>
      <w:r>
        <w:rPr>
          <w:rFonts w:ascii="Times New Roman" w:eastAsia="仿宋_GB2312"/>
          <w:b w:val="0"/>
          <w:sz w:val="32"/>
          <w:szCs w:val="32"/>
        </w:rPr>
        <w:t>、政府采购服务支出</w:t>
      </w:r>
      <w:r>
        <w:rPr>
          <w:rFonts w:hint="eastAsia" w:ascii="Times New Roman" w:eastAsia="仿宋_GB2312"/>
          <w:b w:val="0"/>
          <w:sz w:val="32"/>
          <w:szCs w:val="32"/>
          <w:lang w:eastAsia="zh-CN"/>
        </w:rPr>
        <w:t>0万元</w:t>
      </w:r>
      <w:r>
        <w:rPr>
          <w:rFonts w:ascii="Times New Roman" w:eastAsia="仿宋_GB2312"/>
          <w:b w:val="0"/>
          <w:sz w:val="32"/>
          <w:szCs w:val="32"/>
        </w:rPr>
        <w:t>。授予中小企业合同金额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，其中授予小微企业合同金额</w:t>
      </w:r>
      <w:r>
        <w:rPr>
          <w:rFonts w:hint="eastAsia" w:ascii="Times New Roman" w:eastAsia="仿宋_GB2312"/>
          <w:b w:val="0"/>
          <w:sz w:val="32"/>
          <w:szCs w:val="32"/>
          <w:lang w:eastAsia="zh-CN"/>
        </w:rPr>
        <w:t>0万元</w:t>
      </w:r>
      <w:r>
        <w:rPr>
          <w:rFonts w:ascii="Times New Roman" w:eastAsia="仿宋_GB2312"/>
          <w:b w:val="0"/>
          <w:sz w:val="32"/>
          <w:szCs w:val="32"/>
        </w:rPr>
        <w:t>，占政府采购支出总额的</w:t>
      </w:r>
      <w:r>
        <w:rPr>
          <w:rFonts w:hint="eastAsia" w:ascii="Times New Roman" w:eastAsia="仿宋_GB2312"/>
          <w:b w:val="0"/>
          <w:sz w:val="32"/>
          <w:szCs w:val="32"/>
          <w:lang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八、国有资产占用情况说明</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截至2024年12月31日，本单位共有车辆0辆，比上年增加0辆，</w:t>
      </w:r>
      <w:r>
        <w:rPr>
          <w:rFonts w:hint="eastAsia" w:ascii="Times New Roman" w:eastAsia="仿宋_GB2312"/>
          <w:b w:val="0"/>
          <w:sz w:val="32"/>
          <w:szCs w:val="32"/>
          <w:lang w:eastAsia="zh-CN"/>
        </w:rPr>
        <w:t>与上年持平</w:t>
      </w:r>
      <w:r>
        <w:rPr>
          <w:rFonts w:ascii="Times New Roman" w:eastAsia="仿宋_GB2312"/>
          <w:b w:val="0"/>
          <w:sz w:val="32"/>
          <w:szCs w:val="32"/>
        </w:rPr>
        <w:t>。其中，副部（省）级及以上领导用车0辆，主要负责人用车0辆，机要通信用车0辆，应急保障用车0辆，执法执勤用车0辆，特种专业技术用车0辆，离退休干部用车0辆，其他用车0辆，</w:t>
      </w:r>
      <w:r>
        <w:rPr>
          <w:rFonts w:hint="eastAsia" w:ascii="Times New Roman" w:eastAsia="仿宋_GB2312"/>
          <w:b w:val="0"/>
          <w:sz w:val="32"/>
          <w:szCs w:val="32"/>
          <w:lang w:eastAsia="zh-CN"/>
        </w:rPr>
        <w:t>与上年持平</w:t>
      </w:r>
      <w:r>
        <w:rPr>
          <w:rFonts w:ascii="Times New Roman" w:eastAsia="仿宋_GB2312"/>
          <w:b w:val="0"/>
          <w:sz w:val="32"/>
          <w:szCs w:val="32"/>
        </w:rPr>
        <w:t>。单位价值100万元（含）以上设备（不含车辆）0台（套）。</w:t>
      </w:r>
    </w:p>
    <w:p>
      <w:pPr>
        <w:widowControl/>
        <w:spacing w:before="0" w:beforeLines="0" w:beforeAutospacing="0" w:after="0" w:afterLines="0" w:afterAutospacing="0" w:line="360" w:lineRule="auto"/>
        <w:ind w:firstLine="640" w:firstLineChars="200"/>
        <w:jc w:val="left"/>
        <w:outlineLvl w:val="1"/>
        <w:rPr>
          <w:rFonts w:ascii="Times New Roman" w:eastAsia="黑体"/>
          <w:sz w:val="32"/>
          <w:szCs w:val="32"/>
        </w:rPr>
      </w:pPr>
      <w:r>
        <w:rPr>
          <w:rFonts w:ascii="Times New Roman" w:eastAsia="黑体"/>
          <w:b w:val="0"/>
          <w:sz w:val="32"/>
          <w:szCs w:val="32"/>
        </w:rPr>
        <w:t>九、关于2024年度绩效评价情况的说明</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（一）绩效评价工作开展情况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根据预算绩效管理要求，本单位组织对2024年度本级预算项目支出全面开展绩效自评，共涉及资金万元</w:t>
      </w:r>
      <w:r>
        <w:rPr>
          <w:rFonts w:hint="eastAsia" w:ascii="Times New Roman" w:eastAsia="仿宋_GB2312"/>
          <w:b w:val="0"/>
          <w:sz w:val="32"/>
          <w:szCs w:val="32"/>
          <w:lang w:val="en-US" w:eastAsia="zh-CN"/>
        </w:rPr>
        <w:t>0</w:t>
      </w:r>
      <w:r>
        <w:rPr>
          <w:rFonts w:ascii="Times New Roman" w:eastAsia="仿宋_GB2312"/>
          <w:b w:val="0"/>
          <w:sz w:val="32"/>
          <w:szCs w:val="32"/>
        </w:rPr>
        <w:t>。其中，一般公共预算项目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万元，占一般公共预算项目支出总额的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%；政府性基金预算项目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万元，占政府性基金预算项目支出总额的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%；国有资本经营预算项目</w:t>
      </w:r>
      <w:r>
        <w:rPr>
          <w:rFonts w:hint="eastAsia" w:ascii="Times New Roman" w:eastAsia="仿宋_GB2312"/>
          <w:b w:val="0"/>
          <w:sz w:val="32"/>
          <w:szCs w:val="32"/>
          <w:lang w:val="en-US" w:eastAsia="zh-CN"/>
        </w:rPr>
        <w:t>0</w:t>
      </w:r>
      <w:r>
        <w:rPr>
          <w:rFonts w:ascii="Times New Roman" w:eastAsia="仿宋_GB2312"/>
          <w:b w:val="0"/>
          <w:sz w:val="32"/>
          <w:szCs w:val="32"/>
        </w:rPr>
        <w:t>个，涉及资金</w:t>
      </w:r>
      <w:r>
        <w:rPr>
          <w:rFonts w:hint="eastAsia" w:ascii="Times New Roman" w:eastAsia="仿宋_GB2312"/>
          <w:b w:val="0"/>
          <w:sz w:val="32"/>
          <w:szCs w:val="32"/>
          <w:lang w:val="en-US" w:eastAsia="zh-CN"/>
        </w:rPr>
        <w:t>0</w:t>
      </w:r>
      <w:r>
        <w:rPr>
          <w:rFonts w:ascii="Times New Roman" w:eastAsia="仿宋_GB2312"/>
          <w:b w:val="0"/>
          <w:sz w:val="32"/>
          <w:szCs w:val="32"/>
        </w:rPr>
        <w:t>万元，占国有资本经营预算项目支出总额的</w:t>
      </w:r>
      <w:r>
        <w:rPr>
          <w:rFonts w:hint="eastAsia" w:ascii="Times New Roman" w:eastAsia="仿宋_GB2312"/>
          <w:b w:val="0"/>
          <w:sz w:val="32"/>
          <w:szCs w:val="32"/>
          <w:lang w:val="en-US" w:eastAsia="zh-CN"/>
        </w:rPr>
        <w:t>0</w:t>
      </w:r>
      <w:r>
        <w:rPr>
          <w:rFonts w:ascii="Times New Roman" w:eastAsia="仿宋_GB2312"/>
          <w:b w:val="0"/>
          <w:sz w:val="32"/>
          <w:szCs w:val="32"/>
        </w:rPr>
        <w:t>%。</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组织对等个项目开展了部门重点评价，涉及一般公共预算支出万元，政府性基金预算支出</w:t>
      </w:r>
      <w:r>
        <w:rPr>
          <w:rFonts w:hint="eastAsia" w:ascii="Times New Roman" w:eastAsia="仿宋_GB2312"/>
          <w:b w:val="0"/>
          <w:sz w:val="32"/>
          <w:szCs w:val="32"/>
          <w:lang w:val="en-US" w:eastAsia="zh-CN"/>
        </w:rPr>
        <w:t>0</w:t>
      </w:r>
      <w:r>
        <w:rPr>
          <w:rFonts w:ascii="Times New Roman" w:eastAsia="仿宋_GB2312"/>
          <w:b w:val="0"/>
          <w:sz w:val="32"/>
          <w:szCs w:val="32"/>
        </w:rPr>
        <w:t>万元，国有资本经营预算支出</w:t>
      </w:r>
      <w:r>
        <w:rPr>
          <w:rFonts w:hint="eastAsia" w:ascii="Times New Roman" w:eastAsia="仿宋_GB2312"/>
          <w:b w:val="0"/>
          <w:sz w:val="32"/>
          <w:szCs w:val="32"/>
          <w:lang w:val="en-US" w:eastAsia="zh-CN"/>
        </w:rPr>
        <w:t>0</w:t>
      </w:r>
      <w:r>
        <w:rPr>
          <w:rFonts w:ascii="Times New Roman" w:eastAsia="仿宋_GB2312"/>
          <w:b w:val="0"/>
          <w:sz w:val="32"/>
          <w:szCs w:val="32"/>
        </w:rPr>
        <w:t>万元。</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（二）部门决算中项目绩效自评结果</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本单位在今年部门决算公开中反映</w:t>
      </w:r>
      <w:r>
        <w:rPr>
          <w:rFonts w:hint="eastAsia" w:ascii="Times New Roman" w:eastAsia="仿宋_GB2312"/>
          <w:b w:val="0"/>
          <w:sz w:val="32"/>
          <w:szCs w:val="32"/>
          <w:lang w:val="en-US" w:eastAsia="zh-CN"/>
        </w:rPr>
        <w:t>0个</w:t>
      </w:r>
      <w:r>
        <w:rPr>
          <w:rFonts w:ascii="Times New Roman" w:eastAsia="仿宋_GB2312"/>
          <w:b w:val="0"/>
          <w:sz w:val="32"/>
          <w:szCs w:val="32"/>
        </w:rPr>
        <w:t>项目绩效自评结果。</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（三）部门评价项目绩效评价结果</w:t>
      </w:r>
    </w:p>
    <w:p>
      <w:pPr>
        <w:widowControl/>
        <w:spacing w:before="0" w:beforeLines="0" w:beforeAutospacing="0" w:after="0" w:afterLines="0" w:afterAutospacing="0" w:line="360" w:lineRule="auto"/>
        <w:ind w:firstLine="640" w:firstLineChars="200"/>
        <w:jc w:val="left"/>
        <w:rPr>
          <w:rFonts w:hint="eastAsia" w:ascii="Times New Roman" w:eastAsia="仿宋_GB2312"/>
          <w:sz w:val="32"/>
          <w:szCs w:val="32"/>
          <w:lang w:eastAsia="zh-CN"/>
        </w:rPr>
      </w:pPr>
      <w:r>
        <w:rPr>
          <w:rFonts w:hint="eastAsia" w:ascii="Times New Roman" w:eastAsia="仿宋_GB2312"/>
          <w:sz w:val="32"/>
          <w:szCs w:val="32"/>
          <w:lang w:eastAsia="zh-CN"/>
        </w:rPr>
        <w:t>无</w:t>
      </w:r>
    </w:p>
    <w:p>
      <w:pPr>
        <w:widowControl/>
        <w:spacing w:before="0" w:beforeLines="0" w:beforeAutospacing="0" w:after="0" w:afterLines="0" w:afterAutospacing="0" w:line="360" w:lineRule="auto"/>
        <w:ind w:firstLine="640" w:firstLineChars="200"/>
        <w:jc w:val="left"/>
        <w:rPr>
          <w:rFonts w:ascii="Times New Roman" w:eastAsia="黑体"/>
          <w:sz w:val="32"/>
          <w:szCs w:val="32"/>
        </w:rPr>
      </w:pPr>
      <w:r>
        <w:rPr>
          <w:rFonts w:ascii="Times New Roman" w:eastAsia="黑体"/>
          <w:b w:val="0"/>
          <w:sz w:val="32"/>
          <w:szCs w:val="32"/>
        </w:rPr>
        <w:t>十、其他需要说明的情况</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1.本单位2024年度政府性基金预算财政拨款收入支出决算表（公开07表）、国有资本经营预算财政拨款支出决算表（公开08表）、财政拨款“三公”经费支出决算表（公开09表）无相应收支，故空表列示。</w:t>
      </w:r>
    </w:p>
    <w:p>
      <w:pPr>
        <w:widowControl/>
        <w:spacing w:before="0" w:beforeLines="0" w:beforeAutospacing="0" w:after="0" w:afterLines="0" w:afterAutospacing="0" w:line="360" w:lineRule="auto"/>
        <w:ind w:firstLine="640" w:firstLineChars="200"/>
        <w:jc w:val="left"/>
        <w:rPr>
          <w:rFonts w:ascii="Times New Roman" w:eastAsia="仿宋_GB2312"/>
          <w:sz w:val="32"/>
          <w:szCs w:val="32"/>
        </w:rPr>
      </w:pPr>
      <w:r>
        <w:rPr>
          <w:rFonts w:ascii="Times New Roman" w:eastAsia="仿宋_GB2312"/>
          <w:b w:val="0"/>
          <w:sz w:val="32"/>
          <w:szCs w:val="32"/>
        </w:rPr>
        <w:t>2.由于决算公开表格中金额数值应当保留两位小数，公开数据为四舍五入计算结果，个别数据合计项与分项之和存在小数点后差额，特此说明。</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widowControl/>
        <w:spacing w:before="0" w:beforeLines="0" w:beforeAutospacing="0" w:after="0" w:afterLines="0" w:afterAutospacing="0" w:line="360" w:lineRule="auto"/>
        <w:jc w:val="center"/>
        <w:outlineLvl w:val="0"/>
        <w:rPr>
          <w:rFonts w:ascii="Times New Roman" w:eastAsia="黑体"/>
          <w:sz w:val="44"/>
          <w:szCs w:val="44"/>
        </w:rPr>
      </w:pPr>
      <w:r>
        <w:rPr>
          <w:rFonts w:ascii="Times New Roman" w:eastAsia="黑体"/>
          <w:b w:val="0"/>
          <w:sz w:val="44"/>
          <w:szCs w:val="44"/>
        </w:rPr>
        <w:t>第四部分名词解释</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一、财政拨款收入：</w:t>
      </w:r>
      <w:r>
        <w:rPr>
          <w:rFonts w:ascii="Times New Roman" w:eastAsia="仿宋_GB2312"/>
          <w:b w:val="0"/>
          <w:sz w:val="32"/>
          <w:szCs w:val="32"/>
        </w:rPr>
        <w:t>指单位从同级财政部门取得的财政预算资金。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二、事业收入：</w:t>
      </w:r>
      <w:r>
        <w:rPr>
          <w:rFonts w:ascii="Times New Roman" w:eastAsia="仿宋_GB2312"/>
          <w:b w:val="0"/>
          <w:sz w:val="32"/>
          <w:szCs w:val="32"/>
        </w:rPr>
        <w:t>指事业单位开展专业业务活动及辅助活动取得的收入。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三、经营收入：</w:t>
      </w:r>
      <w:r>
        <w:rPr>
          <w:rFonts w:ascii="Times New Roman" w:eastAsia="仿宋_GB2312"/>
          <w:b w:val="0"/>
          <w:sz w:val="32"/>
          <w:szCs w:val="32"/>
        </w:rPr>
        <w:t>指事业单位在专业业务活动及其辅助活动之外开展非独立核算经营活动取得的收入。</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四、其他收入：</w:t>
      </w:r>
      <w:r>
        <w:rPr>
          <w:rFonts w:ascii="Times New Roman" w:eastAsia="仿宋_GB2312"/>
          <w:b w:val="0"/>
          <w:sz w:val="32"/>
          <w:szCs w:val="32"/>
        </w:rPr>
        <w:t>指单位取得的除上述收入以外的各项收入。主要是事业单位固定资产出租收入、存款利息收入等。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五、使用非财政拨款结余（含专用结余）：</w:t>
      </w:r>
      <w:r>
        <w:rPr>
          <w:rFonts w:ascii="Times New Roman" w:eastAsia="仿宋_GB2312"/>
          <w:b w:val="0"/>
          <w:sz w:val="32"/>
          <w:szCs w:val="32"/>
        </w:rPr>
        <w:t>指事业单位按照预算管理要求使用非财政拨款结余弥补收支差额的金额，以及使用专用结余安排支出的金额。</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六、年初结转和结余：</w:t>
      </w:r>
      <w:r>
        <w:rPr>
          <w:rFonts w:ascii="Times New Roman" w:eastAsia="仿宋_GB2312"/>
          <w:b w:val="0"/>
          <w:sz w:val="32"/>
          <w:szCs w:val="32"/>
        </w:rPr>
        <w:t>指单位以前年度尚未完成、结转到本年仍按原规定用途继续使用的资金，或项目已完成等产生的结余资金。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七、结余分配：</w:t>
      </w:r>
      <w:r>
        <w:rPr>
          <w:rFonts w:ascii="Times New Roman" w:eastAsia="仿宋_GB2312"/>
          <w:b w:val="0"/>
          <w:sz w:val="32"/>
          <w:szCs w:val="32"/>
        </w:rPr>
        <w:t>指事业单位按照会计制度规定缴纳的所得税、提取的专用结余以及转入非财政拨款结余的金额等。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八、年末结转和结余：</w:t>
      </w:r>
      <w:r>
        <w:rPr>
          <w:rFonts w:ascii="Times New Roman" w:eastAsia="仿宋_GB2312"/>
          <w:b w:val="0"/>
          <w:sz w:val="32"/>
          <w:szCs w:val="32"/>
        </w:rPr>
        <w:t>指单位按有关规定结转到下年或以后年度继续使用的资金，或项目已完成等产生的结余资金。</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九、基本支出：</w:t>
      </w:r>
      <w:r>
        <w:rPr>
          <w:rFonts w:ascii="Times New Roman" w:eastAsia="仿宋_GB2312"/>
          <w:b w:val="0"/>
          <w:sz w:val="32"/>
          <w:szCs w:val="32"/>
        </w:rPr>
        <w:t>指为保障机构正常运转、完成日常工作任务而发生的人员支出和公用支出。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十、项目支出：</w:t>
      </w:r>
      <w:r>
        <w:rPr>
          <w:rFonts w:ascii="Times New Roman" w:eastAsia="仿宋_GB2312"/>
          <w:b w:val="0"/>
          <w:sz w:val="32"/>
          <w:szCs w:val="32"/>
        </w:rPr>
        <w:t>指在基本支出之外为完成特定行政任务和事业发展目标所发生的支出。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十一、经营支出：</w:t>
      </w:r>
      <w:r>
        <w:rPr>
          <w:rFonts w:ascii="Times New Roman" w:eastAsia="仿宋_GB2312"/>
          <w:b w:val="0"/>
          <w:sz w:val="32"/>
          <w:szCs w:val="32"/>
        </w:rPr>
        <w:t>指事业单位在专业业务活动及其辅助活动之外开展非独立核算经营活动发生的支出。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十二、基本建设支出：</w:t>
      </w:r>
      <w:r>
        <w:rPr>
          <w:rFonts w:ascii="Times New Roman" w:eastAsia="仿宋_GB2312"/>
          <w:b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十三、其他资本性支出：</w:t>
      </w:r>
      <w:r>
        <w:rPr>
          <w:rFonts w:ascii="Times New Roman" w:eastAsia="仿宋_GB2312"/>
          <w:b w:val="0"/>
          <w:sz w:val="32"/>
          <w:szCs w:val="32"/>
        </w:rPr>
        <w:t>填列由各级非发展与改革部门集中安排的用于购置固定资产、战备性和应急性储备、土地和无形资产，以及购建基础设施、大型修缮和财政支持企业更新改造所发生的支出。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十四、“三公”经费：</w:t>
      </w:r>
      <w:r>
        <w:rPr>
          <w:rFonts w:ascii="Times New Roman" w:eastAsia="仿宋_GB2312"/>
          <w:b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十五、其他交通费用：</w:t>
      </w:r>
      <w:r>
        <w:rPr>
          <w:rFonts w:ascii="Times New Roman" w:eastAsia="仿宋_GB2312"/>
          <w:b w:val="0"/>
          <w:sz w:val="32"/>
          <w:szCs w:val="32"/>
        </w:rPr>
        <w:t>填列单位除公务用车运行维护费以外的其他交通费用。如公务交通补贴、租车费用、出租车费用，飞机、船舶等燃料费、维修费、保险费等。</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十六、公务用车购置：</w:t>
      </w:r>
      <w:r>
        <w:rPr>
          <w:rFonts w:ascii="Times New Roman" w:eastAsia="仿宋_GB2312"/>
          <w:b w:val="0"/>
          <w:sz w:val="32"/>
          <w:szCs w:val="32"/>
        </w:rPr>
        <w:t>填列单位公务用车车辆购置支出（含车辆购置税、牌照费）。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十七、其他交通工具购置：</w:t>
      </w:r>
      <w:r>
        <w:rPr>
          <w:rFonts w:ascii="Times New Roman" w:eastAsia="仿宋_GB2312"/>
          <w:b w:val="0"/>
          <w:sz w:val="32"/>
          <w:szCs w:val="32"/>
        </w:rPr>
        <w:t>填列单位除公务用车外的其他各类交通工具（如船舶、飞机等）购置支出（含车辆购置税、牌照费）。</w:t>
      </w:r>
    </w:p>
    <w:p>
      <w:pPr>
        <w:widowControl/>
        <w:spacing w:before="0" w:beforeLines="0" w:beforeAutospacing="0" w:after="0" w:afterLines="0" w:afterAutospacing="0" w:line="360" w:lineRule="auto"/>
        <w:ind w:firstLine="643" w:firstLineChars="200"/>
        <w:jc w:val="left"/>
        <w:rPr>
          <w:rFonts w:ascii="Times New Roman" w:eastAsia="仿宋_GB2312"/>
          <w:sz w:val="32"/>
          <w:szCs w:val="32"/>
        </w:rPr>
      </w:pPr>
      <w:r>
        <w:rPr>
          <w:rFonts w:ascii="Times New Roman" w:eastAsia="仿宋_GB2312"/>
          <w:b/>
          <w:sz w:val="32"/>
          <w:szCs w:val="32"/>
        </w:rPr>
        <w:t>十八、机关运行经费：</w:t>
      </w:r>
      <w:r>
        <w:rPr>
          <w:rFonts w:ascii="Times New Roman" w:eastAsia="仿宋_GB2312"/>
          <w:b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ArialUnicodeMS">
    <w:altName w:val="DejaVu Sans"/>
    <w:panose1 w:val="00000000000000000000"/>
    <w:charset w:val="81"/>
    <w:family w:val="auto"/>
    <w:pitch w:val="default"/>
    <w:sig w:usb0="00000000" w:usb1="00000000" w:usb2="00000010" w:usb3="00000000" w:csb0="0008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DengXian-Regular">
    <w:altName w:val="华文中宋"/>
    <w:panose1 w:val="00000000000000000000"/>
    <w:charset w:val="00"/>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3074404"/>
    <w:rsid w:val="136A5C00"/>
    <w:rsid w:val="13B97B08"/>
    <w:rsid w:val="13C527AC"/>
    <w:rsid w:val="14711797"/>
    <w:rsid w:val="147B6F17"/>
    <w:rsid w:val="14D42061"/>
    <w:rsid w:val="15081C8B"/>
    <w:rsid w:val="15090D5C"/>
    <w:rsid w:val="15CF053D"/>
    <w:rsid w:val="15E0131A"/>
    <w:rsid w:val="15E11DC0"/>
    <w:rsid w:val="16457D9F"/>
    <w:rsid w:val="17223EFF"/>
    <w:rsid w:val="17AA5F28"/>
    <w:rsid w:val="17B713F6"/>
    <w:rsid w:val="184348F4"/>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611B0F"/>
    <w:rsid w:val="2AC1762B"/>
    <w:rsid w:val="2AE845D0"/>
    <w:rsid w:val="2B4975FB"/>
    <w:rsid w:val="2B695031"/>
    <w:rsid w:val="2B735A8F"/>
    <w:rsid w:val="2BA7478D"/>
    <w:rsid w:val="2BB038DB"/>
    <w:rsid w:val="2BB761E0"/>
    <w:rsid w:val="2BB812F9"/>
    <w:rsid w:val="2BE35C27"/>
    <w:rsid w:val="2BFA504B"/>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2ED552C"/>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330424"/>
    <w:rsid w:val="36FE3ABA"/>
    <w:rsid w:val="37072BDE"/>
    <w:rsid w:val="37455334"/>
    <w:rsid w:val="37527C32"/>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36197F"/>
    <w:rsid w:val="3C6C0B58"/>
    <w:rsid w:val="3CBE41D5"/>
    <w:rsid w:val="3D446B0E"/>
    <w:rsid w:val="3D745844"/>
    <w:rsid w:val="3D8626D0"/>
    <w:rsid w:val="3D953A6B"/>
    <w:rsid w:val="3DBB5979"/>
    <w:rsid w:val="3DD56F21"/>
    <w:rsid w:val="3DEF6699"/>
    <w:rsid w:val="3E1057AF"/>
    <w:rsid w:val="3E6C0DFA"/>
    <w:rsid w:val="3E740322"/>
    <w:rsid w:val="3E7F4380"/>
    <w:rsid w:val="3E8D171B"/>
    <w:rsid w:val="3EA5630D"/>
    <w:rsid w:val="3EBA731B"/>
    <w:rsid w:val="3EE33949"/>
    <w:rsid w:val="3EFB5800"/>
    <w:rsid w:val="3F3B4E59"/>
    <w:rsid w:val="3F6E677C"/>
    <w:rsid w:val="3F712F46"/>
    <w:rsid w:val="3FBC0EF7"/>
    <w:rsid w:val="3FCD2AB9"/>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4E62C9"/>
    <w:rsid w:val="516123CE"/>
    <w:rsid w:val="51796627"/>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6232437"/>
    <w:rsid w:val="56541A75"/>
    <w:rsid w:val="568832FC"/>
    <w:rsid w:val="568C4181"/>
    <w:rsid w:val="570725A9"/>
    <w:rsid w:val="5714693E"/>
    <w:rsid w:val="571D0C9C"/>
    <w:rsid w:val="573A16CE"/>
    <w:rsid w:val="579C7F80"/>
    <w:rsid w:val="57B30D7C"/>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6CB5E2D"/>
    <w:rsid w:val="6704732B"/>
    <w:rsid w:val="670F6731"/>
    <w:rsid w:val="67585CB0"/>
    <w:rsid w:val="67770F0C"/>
    <w:rsid w:val="67B03535"/>
    <w:rsid w:val="67FB1CA4"/>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A729D"/>
    <w:rsid w:val="73177841"/>
    <w:rsid w:val="733774FE"/>
    <w:rsid w:val="73617E1B"/>
    <w:rsid w:val="736D7653"/>
    <w:rsid w:val="738035CB"/>
    <w:rsid w:val="73852C46"/>
    <w:rsid w:val="7396335C"/>
    <w:rsid w:val="73F46595"/>
    <w:rsid w:val="73F47FAE"/>
    <w:rsid w:val="74283FA2"/>
    <w:rsid w:val="742C135B"/>
    <w:rsid w:val="74463733"/>
    <w:rsid w:val="748A2F40"/>
    <w:rsid w:val="74D84FF7"/>
    <w:rsid w:val="74F85778"/>
    <w:rsid w:val="75272439"/>
    <w:rsid w:val="758F1E9B"/>
    <w:rsid w:val="75CE266B"/>
    <w:rsid w:val="76120141"/>
    <w:rsid w:val="768216BE"/>
    <w:rsid w:val="76C23B43"/>
    <w:rsid w:val="76FD6F97"/>
    <w:rsid w:val="770218E8"/>
    <w:rsid w:val="779469CE"/>
    <w:rsid w:val="77C875A5"/>
    <w:rsid w:val="78A27DF6"/>
    <w:rsid w:val="79285B3A"/>
    <w:rsid w:val="79490B03"/>
    <w:rsid w:val="79625CA9"/>
    <w:rsid w:val="79A91196"/>
    <w:rsid w:val="7A0B32D3"/>
    <w:rsid w:val="7AC13CD3"/>
    <w:rsid w:val="7AE10264"/>
    <w:rsid w:val="7AE4248E"/>
    <w:rsid w:val="7B4A207F"/>
    <w:rsid w:val="7B936F45"/>
    <w:rsid w:val="7BA47419"/>
    <w:rsid w:val="7BB10D45"/>
    <w:rsid w:val="7BB44151"/>
    <w:rsid w:val="7C1F5BC1"/>
    <w:rsid w:val="7C656A39"/>
    <w:rsid w:val="7CB93996"/>
    <w:rsid w:val="7CBE0F99"/>
    <w:rsid w:val="7D4E45F1"/>
    <w:rsid w:val="7DFB6D82"/>
    <w:rsid w:val="7E1D71D1"/>
    <w:rsid w:val="7E246254"/>
    <w:rsid w:val="7E553215"/>
    <w:rsid w:val="7E6D090F"/>
    <w:rsid w:val="7ECC66B2"/>
    <w:rsid w:val="7F2914C3"/>
    <w:rsid w:val="7F5F2ED6"/>
    <w:rsid w:val="7FA837EF"/>
    <w:rsid w:val="7FC36955"/>
    <w:rsid w:val="7FE903A0"/>
    <w:rsid w:val="7FF07065"/>
    <w:rsid w:val="7FF97946"/>
    <w:rsid w:val="7FFE7888"/>
    <w:rsid w:val="ED7EA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paragraph" w:customStyle="1" w:styleId="25">
    <w:name w:val="纯文本1"/>
    <w:basedOn w:val="1"/>
    <w:qFormat/>
    <w:uiPriority w:val="0"/>
    <w:rPr>
      <w:rFonts w:hint="eastAsia"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1 </a:t>
            </a:r>
            <a:r>
              <a:rPr lang="zh-CN" altLang="en-US"/>
              <a:t>： </a:t>
            </a:r>
            <a:r>
              <a:rPr lang="en-US" altLang="zh-CN"/>
              <a:t>2023-2024</a:t>
            </a:r>
            <a:r>
              <a:rPr lang="zh-CN" altLang="en-US"/>
              <a:t>年收支总计对比图（万元）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471.56</c:v>
                </c:pt>
                <c:pt idx="1">
                  <c:v>482.74</c:v>
                </c:pt>
              </c:numCache>
            </c:numRef>
          </c:val>
        </c:ser>
        <c:dLbls>
          <c:showLegendKey val="0"/>
          <c:showVal val="1"/>
          <c:showCatName val="0"/>
          <c:showSerName val="0"/>
          <c:showPercent val="0"/>
          <c:showBubbleSize val="0"/>
        </c:dLbls>
        <c:gapWidth val="246"/>
        <c:overlap val="-28"/>
        <c:axId val="817088452"/>
        <c:axId val="587069473"/>
      </c:barChart>
      <c:catAx>
        <c:axId val="8170884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069473"/>
        <c:crosses val="autoZero"/>
        <c:auto val="1"/>
        <c:lblAlgn val="ctr"/>
        <c:lblOffset val="100"/>
        <c:noMultiLvlLbl val="0"/>
      </c:catAx>
      <c:valAx>
        <c:axId val="58706947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70884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2 </a:t>
            </a:r>
            <a:r>
              <a:rPr lang="zh-CN" altLang="en-US"/>
              <a:t>：收入决算构成情况图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Lbl>
              <c:idx val="0"/>
              <c:layout>
                <c:manualLayout>
                  <c:x val="0.320125539403024"/>
                  <c:y val="0.72690713982147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08045516407558"/>
                  <c:y val="0.63914683382912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405411836540074"/>
                  <c:y val="0.171855078623054"/>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37059073523162"/>
                    </c:manualLayout>
                  </c15:layout>
                </c:ext>
              </c:extLst>
            </c:dLbl>
            <c:dLbl>
              <c:idx val="3"/>
              <c:layout>
                <c:manualLayout>
                  <c:x val="-0.286905148238858"/>
                  <c:y val="0.270250743731381"/>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709732256694"/>
                    </c:manualLayout>
                  </c15:layout>
                </c:ext>
              </c:extLst>
            </c:dLbl>
            <c:dLbl>
              <c:idx val="4"/>
              <c:layout>
                <c:manualLayout>
                  <c:x val="-0.298985360795255"/>
                  <c:y val="0.4491606459838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211403720706"/>
                      <c:h val="0.154908627284318"/>
                    </c:manualLayout>
                  </c15:layout>
                </c:ext>
              </c:extLst>
            </c:dLbl>
            <c:dLbl>
              <c:idx val="5"/>
              <c:layout>
                <c:manualLayout>
                  <c:x val="-0.288475575878384"/>
                  <c:y val="0.124165958351015"/>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manualLayout>
                      <c:w val="0.19545300797294"/>
                      <c:h val="0.110922226944326"/>
                    </c:manualLayout>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ctr"/>
            <c:showLegendKey val="1"/>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财政拨款收入</c:v>
                </c:pt>
                <c:pt idx="1">
                  <c:v>上级补助收入</c:v>
                </c:pt>
                <c:pt idx="2">
                  <c:v>事业收入</c:v>
                </c:pt>
                <c:pt idx="3">
                  <c:v>经营收入</c:v>
                </c:pt>
                <c:pt idx="4">
                  <c:v>附属单位上缴收入</c:v>
                </c:pt>
                <c:pt idx="5">
                  <c:v>其他收入</c:v>
                </c:pt>
              </c:strCache>
            </c:strRef>
          </c:cat>
          <c:val>
            <c:numRef>
              <c:f>Sheet1!$B$2:$B$7</c:f>
              <c:numCache>
                <c:formatCode>General</c:formatCode>
                <c:ptCount val="6"/>
                <c:pt idx="0">
                  <c:v>4827395.9</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zh-CN" altLang="en-US" b="1"/>
              <a:t>图 </a:t>
            </a:r>
            <a:r>
              <a:rPr lang="en-US" altLang="zh-CN" b="1"/>
              <a:t>3 </a:t>
            </a:r>
            <a:r>
              <a:rPr lang="zh-CN" altLang="en-US" b="1"/>
              <a:t>：支出决算构成情况图</a:t>
            </a:r>
            <a:endParaRPr lang="zh-CN" altLang="en-US" b="1"/>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346218893452525"/>
                  <c:y val="0.71546961325966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357095916888137"/>
                  <c:y val="0.097938376540627"/>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92703551582508"/>
                  <c:y val="0.266893327666808"/>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15235684561946"/>
                  <c:y val="0.468316617084613"/>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73558967655045"/>
                  <c:y val="0.718210369740799"/>
                </c:manualLayout>
              </c:layout>
              <c:dLblPos val="bestFit"/>
              <c:showLegendKey val="1"/>
              <c:showVal val="0"/>
              <c:showCatName val="1"/>
              <c:showSerName val="0"/>
              <c:showPercent val="1"/>
              <c:showBubbleSize val="0"/>
              <c:separator>
</c:separator>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1"/>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4827395.9</c:v>
                </c:pt>
                <c:pt idx="1">
                  <c:v>0</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4 </a:t>
            </a:r>
            <a:r>
              <a:rPr lang="zh-CN" altLang="en-US"/>
              <a:t>：</a:t>
            </a:r>
            <a:r>
              <a:rPr lang="en-US" altLang="zh-CN"/>
              <a:t>2023-2024</a:t>
            </a:r>
            <a:r>
              <a:rPr lang="zh-CN" altLang="en-US"/>
              <a:t>年财政拨款收支对比图（万元）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471.56</c:v>
                </c:pt>
                <c:pt idx="1">
                  <c:v>471.56</c:v>
                </c:pt>
                <c:pt idx="2">
                  <c:v>471.56</c:v>
                </c:pt>
                <c:pt idx="3">
                  <c:v>471.56</c:v>
                </c:pt>
                <c:pt idx="4">
                  <c:v>0</c:v>
                </c:pt>
                <c:pt idx="5">
                  <c:v>0</c:v>
                </c:pt>
                <c:pt idx="6">
                  <c:v>0</c:v>
                </c:pt>
                <c:pt idx="7">
                  <c:v>0</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482.74</c:v>
                </c:pt>
                <c:pt idx="1">
                  <c:v>482.74</c:v>
                </c:pt>
                <c:pt idx="2">
                  <c:v>482.74</c:v>
                </c:pt>
                <c:pt idx="3">
                  <c:v>482.74</c:v>
                </c:pt>
                <c:pt idx="4">
                  <c:v>0</c:v>
                </c:pt>
                <c:pt idx="5">
                  <c:v>0</c:v>
                </c:pt>
                <c:pt idx="6">
                  <c:v>0</c:v>
                </c:pt>
                <c:pt idx="7">
                  <c:v>0</c:v>
                </c:pt>
              </c:numCache>
            </c:numRef>
          </c:val>
        </c:ser>
        <c:dLbls>
          <c:showLegendKey val="0"/>
          <c:showVal val="1"/>
          <c:showCatName val="0"/>
          <c:showSerName val="0"/>
          <c:showPercent val="0"/>
          <c:showBubbleSize val="0"/>
        </c:dLbls>
        <c:gapWidth val="246"/>
        <c:overlap val="-28"/>
        <c:axId val="40225855"/>
        <c:axId val="660958640"/>
      </c:barChart>
      <c:catAx>
        <c:axId val="402258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0958640"/>
        <c:crosses val="autoZero"/>
        <c:auto val="1"/>
        <c:lblAlgn val="ctr"/>
        <c:lblOffset val="100"/>
        <c:noMultiLvlLbl val="0"/>
      </c:catAx>
      <c:valAx>
        <c:axId val="66095864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225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manualLayout>
          <c:xMode val="edge"/>
          <c:yMode val="edge"/>
          <c:x val="0.41481403434833"/>
          <c:y val="0.94948096885813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图 </a:t>
            </a:r>
            <a:r>
              <a:rPr lang="en-US" altLang="zh-CN"/>
              <a:t>5 :</a:t>
            </a:r>
            <a:r>
              <a:rPr lang="zh-CN" altLang="en-US"/>
              <a:t>财政拨款收支预算对比图（万元）</a:t>
            </a:r>
            <a:endParaRPr lang="zh-CN" altLang="en-US"/>
          </a:p>
        </c:rich>
      </c:tx>
      <c:layout/>
      <c:overlay val="0"/>
      <c:spPr>
        <a:noFill/>
        <a:ln>
          <a:noFill/>
        </a:ln>
        <a:effectLst/>
      </c:spPr>
    </c:title>
    <c:autoTitleDeleted val="0"/>
    <c:plotArea>
      <c:layout>
        <c:manualLayout>
          <c:layoutTarget val="inner"/>
          <c:xMode val="edge"/>
          <c:yMode val="edge"/>
          <c:x val="0.17641942498188"/>
          <c:y val="0.160433489162771"/>
          <c:w val="0.795796086011114"/>
          <c:h val="0.474330641733957"/>
        </c:manualLayout>
      </c:layout>
      <c:barChart>
        <c:barDir val="col"/>
        <c:grouping val="clustered"/>
        <c:varyColors val="0"/>
        <c:ser>
          <c:idx val="0"/>
          <c:order val="0"/>
          <c:tx>
            <c:strRef>
              <c:f>Sheet1!$B$1</c:f>
              <c:strCache>
                <c:ptCount val="1"/>
                <c:pt idx="0">
                  <c:v>年初预算数</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Sheet1!$B$2:$B$9</c:f>
              <c:numCache>
                <c:formatCode>General</c:formatCode>
                <c:ptCount val="8"/>
                <c:pt idx="0">
                  <c:v>551.99</c:v>
                </c:pt>
                <c:pt idx="1">
                  <c:v>551.99</c:v>
                </c:pt>
                <c:pt idx="2">
                  <c:v>551.99</c:v>
                </c:pt>
                <c:pt idx="3">
                  <c:v>551.99</c:v>
                </c:pt>
                <c:pt idx="4">
                  <c:v>0</c:v>
                </c:pt>
                <c:pt idx="5">
                  <c:v>0</c:v>
                </c:pt>
                <c:pt idx="6">
                  <c:v>0</c:v>
                </c:pt>
                <c:pt idx="7">
                  <c:v>0</c:v>
                </c:pt>
              </c:numCache>
            </c:numRef>
          </c:val>
        </c:ser>
        <c:ser>
          <c:idx val="1"/>
          <c:order val="1"/>
          <c:tx>
            <c:strRef>
              <c:f>Sheet1!$C$1</c:f>
              <c:strCache>
                <c:ptCount val="1"/>
                <c:pt idx="0">
                  <c:v>决算数</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财政拨款收入</c:v>
                </c:pt>
                <c:pt idx="1">
                  <c:v>财政拨款支出</c:v>
                </c:pt>
                <c:pt idx="2">
                  <c:v>一般公共预算财政拨款收入</c:v>
                </c:pt>
                <c:pt idx="3">
                  <c:v>一般公共预算财政拨款支出</c:v>
                </c:pt>
                <c:pt idx="4">
                  <c:v>政府性基金财政拨款收入</c:v>
                </c:pt>
                <c:pt idx="5">
                  <c:v>政府性基金财政拨款支出</c:v>
                </c:pt>
                <c:pt idx="6">
                  <c:v>国有资本经营预算财政拨款收入</c:v>
                </c:pt>
                <c:pt idx="7">
                  <c:v>国有资本经营预算财政拨款支出</c:v>
                </c:pt>
              </c:strCache>
            </c:strRef>
          </c:cat>
          <c:val>
            <c:numRef>
              <c:f>Sheet1!$C$2:$C$9</c:f>
              <c:numCache>
                <c:formatCode>General</c:formatCode>
                <c:ptCount val="8"/>
                <c:pt idx="0">
                  <c:v>482.74</c:v>
                </c:pt>
                <c:pt idx="1">
                  <c:v>482.74</c:v>
                </c:pt>
                <c:pt idx="2">
                  <c:v>482.74</c:v>
                </c:pt>
                <c:pt idx="3">
                  <c:v>482.74</c:v>
                </c:pt>
                <c:pt idx="4">
                  <c:v>0</c:v>
                </c:pt>
                <c:pt idx="5">
                  <c:v>0</c:v>
                </c:pt>
                <c:pt idx="6">
                  <c:v>0</c:v>
                </c:pt>
                <c:pt idx="7">
                  <c:v>0</c:v>
                </c:pt>
              </c:numCache>
            </c:numRef>
          </c:val>
        </c:ser>
        <c:dLbls>
          <c:showLegendKey val="0"/>
          <c:showVal val="1"/>
          <c:showCatName val="0"/>
          <c:showSerName val="0"/>
          <c:showPercent val="0"/>
          <c:showBubbleSize val="0"/>
        </c:dLbls>
        <c:gapWidth val="150"/>
        <c:axId val="136214206"/>
        <c:axId val="897256872"/>
      </c:barChart>
      <c:catAx>
        <c:axId val="13621420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7256872"/>
        <c:crosses val="autoZero"/>
        <c:auto val="1"/>
        <c:lblAlgn val="ctr"/>
        <c:lblOffset val="100"/>
        <c:noMultiLvlLbl val="0"/>
      </c:catAx>
      <c:valAx>
        <c:axId val="89725687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21420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r>
              <a:rPr lang="zh-CN" altLang="en-US"/>
              <a:t>图</a:t>
            </a:r>
            <a:r>
              <a:rPr lang="en-US" altLang="zh-CN"/>
              <a:t>6  : </a:t>
            </a:r>
            <a:r>
              <a:rPr lang="zh-CN" altLang="en-US"/>
              <a:t>财政拨款支出决算构成情况图</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Pt>
            <c:idx val="8"/>
            <c:bubble3D val="0"/>
            <c:spPr>
              <a:solidFill>
                <a:schemeClr val="accent3">
                  <a:lumMod val="60000"/>
                </a:schemeClr>
              </a:solidFill>
              <a:ln>
                <a:solidFill>
                  <a:schemeClr val="bg1"/>
                </a:solidFill>
              </a:ln>
              <a:effectLst/>
            </c:spPr>
          </c:dPt>
          <c:dPt>
            <c:idx val="9"/>
            <c:bubble3D val="0"/>
            <c:spPr>
              <a:solidFill>
                <a:schemeClr val="accent4">
                  <a:lumMod val="60000"/>
                </a:schemeClr>
              </a:solidFill>
              <a:ln>
                <a:solidFill>
                  <a:schemeClr val="bg1"/>
                </a:solidFill>
              </a:ln>
              <a:effectLst/>
            </c:spPr>
          </c:dPt>
          <c:dPt>
            <c:idx val="10"/>
            <c:bubble3D val="0"/>
            <c:spPr>
              <a:solidFill>
                <a:schemeClr val="accent5">
                  <a:lumMod val="60000"/>
                </a:schemeClr>
              </a:solidFill>
              <a:ln>
                <a:solidFill>
                  <a:schemeClr val="bg1"/>
                </a:solidFill>
              </a:ln>
              <a:effectLst/>
            </c:spPr>
          </c:dPt>
          <c:dPt>
            <c:idx val="11"/>
            <c:bubble3D val="0"/>
            <c:spPr>
              <a:solidFill>
                <a:schemeClr val="accent6">
                  <a:lumMod val="60000"/>
                </a:schemeClr>
              </a:solidFill>
              <a:ln>
                <a:solidFill>
                  <a:schemeClr val="bg1"/>
                </a:solidFill>
              </a:ln>
              <a:effectLst/>
            </c:spPr>
          </c:dPt>
          <c:dPt>
            <c:idx val="12"/>
            <c:bubble3D val="0"/>
            <c:spPr>
              <a:solidFill>
                <a:schemeClr val="accent1">
                  <a:lumMod val="80000"/>
                  <a:lumOff val="20000"/>
                </a:schemeClr>
              </a:solidFill>
              <a:ln>
                <a:solidFill>
                  <a:schemeClr val="bg1"/>
                </a:solidFill>
              </a:ln>
              <a:effectLst/>
            </c:spPr>
          </c:dPt>
          <c:dPt>
            <c:idx val="13"/>
            <c:bubble3D val="0"/>
            <c:spPr>
              <a:solidFill>
                <a:schemeClr val="accent2">
                  <a:lumMod val="80000"/>
                  <a:lumOff val="20000"/>
                </a:schemeClr>
              </a:solidFill>
              <a:ln>
                <a:solidFill>
                  <a:schemeClr val="bg1"/>
                </a:solidFill>
              </a:ln>
              <a:effectLst/>
            </c:spPr>
          </c:dPt>
          <c:dPt>
            <c:idx val="14"/>
            <c:bubble3D val="0"/>
            <c:spPr>
              <a:solidFill>
                <a:schemeClr val="accent3">
                  <a:lumMod val="80000"/>
                  <a:lumOff val="20000"/>
                </a:schemeClr>
              </a:solidFill>
              <a:ln>
                <a:solidFill>
                  <a:schemeClr val="bg1"/>
                </a:solidFill>
              </a:ln>
              <a:effectLst/>
            </c:spPr>
          </c:dPt>
          <c:dPt>
            <c:idx val="15"/>
            <c:bubble3D val="0"/>
            <c:spPr>
              <a:solidFill>
                <a:schemeClr val="accent4">
                  <a:lumMod val="80000"/>
                  <a:lumOff val="20000"/>
                </a:schemeClr>
              </a:solidFill>
              <a:ln>
                <a:solidFill>
                  <a:schemeClr val="bg1"/>
                </a:solidFill>
              </a:ln>
              <a:effectLst/>
            </c:spPr>
          </c:dPt>
          <c:dPt>
            <c:idx val="16"/>
            <c:bubble3D val="0"/>
            <c:spPr>
              <a:solidFill>
                <a:schemeClr val="accent5">
                  <a:lumMod val="80000"/>
                  <a:lumOff val="20000"/>
                </a:schemeClr>
              </a:solidFill>
              <a:ln>
                <a:solidFill>
                  <a:schemeClr val="bg1"/>
                </a:solidFill>
              </a:ln>
              <a:effectLst/>
            </c:spPr>
          </c:dPt>
          <c:dPt>
            <c:idx val="17"/>
            <c:bubble3D val="0"/>
            <c:spPr>
              <a:solidFill>
                <a:schemeClr val="accent6">
                  <a:lumMod val="80000"/>
                  <a:lumOff val="20000"/>
                </a:schemeClr>
              </a:solidFill>
              <a:ln>
                <a:solidFill>
                  <a:schemeClr val="bg1"/>
                </a:solidFill>
              </a:ln>
              <a:effectLst/>
            </c:spPr>
          </c:dPt>
          <c:dPt>
            <c:idx val="18"/>
            <c:bubble3D val="0"/>
            <c:spPr>
              <a:solidFill>
                <a:schemeClr val="accent1">
                  <a:lumMod val="80000"/>
                </a:schemeClr>
              </a:solidFill>
              <a:ln>
                <a:solidFill>
                  <a:schemeClr val="bg1"/>
                </a:solidFill>
              </a:ln>
              <a:effectLst/>
            </c:spPr>
          </c:dPt>
          <c:dPt>
            <c:idx val="19"/>
            <c:bubble3D val="0"/>
            <c:spPr>
              <a:solidFill>
                <a:schemeClr val="accent2">
                  <a:lumMod val="80000"/>
                </a:schemeClr>
              </a:solidFill>
              <a:ln>
                <a:solidFill>
                  <a:schemeClr val="bg1"/>
                </a:solidFill>
              </a:ln>
              <a:effectLst/>
            </c:spPr>
          </c:dPt>
          <c:dPt>
            <c:idx val="20"/>
            <c:bubble3D val="0"/>
            <c:spPr>
              <a:solidFill>
                <a:schemeClr val="accent3">
                  <a:lumMod val="80000"/>
                </a:schemeClr>
              </a:solidFill>
              <a:ln>
                <a:solidFill>
                  <a:schemeClr val="bg1"/>
                </a:solidFill>
              </a:ln>
              <a:effectLst/>
            </c:spPr>
          </c:dPt>
          <c:dPt>
            <c:idx val="21"/>
            <c:bubble3D val="0"/>
            <c:spPr>
              <a:solidFill>
                <a:schemeClr val="accent4">
                  <a:lumMod val="80000"/>
                </a:schemeClr>
              </a:solidFill>
              <a:ln>
                <a:solidFill>
                  <a:schemeClr val="bg1"/>
                </a:solidFill>
              </a:ln>
              <a:effectLst/>
            </c:spPr>
          </c:dPt>
          <c:dPt>
            <c:idx val="22"/>
            <c:bubble3D val="0"/>
            <c:spPr>
              <a:solidFill>
                <a:schemeClr val="accent5">
                  <a:lumMod val="80000"/>
                </a:schemeClr>
              </a:solidFill>
              <a:ln>
                <a:solidFill>
                  <a:schemeClr val="bg1"/>
                </a:solidFill>
              </a:ln>
              <a:effectLst/>
            </c:spPr>
          </c:dPt>
          <c:dPt>
            <c:idx val="23"/>
            <c:bubble3D val="0"/>
            <c:spPr>
              <a:solidFill>
                <a:schemeClr val="accent6">
                  <a:lumMod val="80000"/>
                </a:schemeClr>
              </a:solidFill>
              <a:ln>
                <a:solidFill>
                  <a:schemeClr val="bg1"/>
                </a:solidFill>
              </a:ln>
              <a:effectLst/>
            </c:spPr>
          </c:dPt>
          <c:dPt>
            <c:idx val="24"/>
            <c:bubble3D val="0"/>
            <c:spPr>
              <a:solidFill>
                <a:schemeClr val="accent1">
                  <a:lumMod val="60000"/>
                  <a:lumOff val="40000"/>
                </a:schemeClr>
              </a:solidFill>
              <a:ln>
                <a:solidFill>
                  <a:schemeClr val="bg1"/>
                </a:solidFill>
              </a:ln>
              <a:effectLst/>
            </c:spPr>
          </c:dPt>
          <c:dPt>
            <c:idx val="25"/>
            <c:bubble3D val="0"/>
            <c:spPr>
              <a:solidFill>
                <a:schemeClr val="accent2">
                  <a:lumMod val="60000"/>
                  <a:lumOff val="40000"/>
                </a:schemeClr>
              </a:solidFill>
              <a:ln>
                <a:solidFill>
                  <a:schemeClr val="bg1"/>
                </a:solidFill>
              </a:ln>
              <a:effectLst/>
            </c:spPr>
          </c:dPt>
          <c:dLbls>
            <c:delete val="1"/>
          </c:dLbls>
          <c:cat>
            <c:strRef>
              <c:f>Sheet1!$A$2:$A$27</c:f>
              <c:strCache>
                <c:ptCount val="26"/>
                <c:pt idx="0">
                  <c:v>一般公共服务支出</c:v>
                </c:pt>
                <c:pt idx="1">
                  <c:v>外交支出</c:v>
                </c:pt>
                <c:pt idx="2">
                  <c:v>国防支出</c:v>
                </c:pt>
                <c:pt idx="3">
                  <c:v>公共安全支出</c:v>
                </c:pt>
                <c:pt idx="4">
                  <c:v>教育支出</c:v>
                </c:pt>
                <c:pt idx="5">
                  <c:v>科学技术支出</c:v>
                </c:pt>
                <c:pt idx="6">
                  <c:v>文化旅游体育与传媒支出</c:v>
                </c:pt>
                <c:pt idx="7">
                  <c:v>社会保障和就业支出</c:v>
                </c:pt>
                <c:pt idx="8">
                  <c:v>卫生健康支出</c:v>
                </c:pt>
                <c:pt idx="9">
                  <c:v>节能环保支出</c:v>
                </c:pt>
                <c:pt idx="10">
                  <c:v>城乡社区支出</c:v>
                </c:pt>
                <c:pt idx="11">
                  <c:v>农林水支出</c:v>
                </c:pt>
                <c:pt idx="12">
                  <c:v>交通运输支出</c:v>
                </c:pt>
                <c:pt idx="13">
                  <c:v>资源勘探工业信息等支出</c:v>
                </c:pt>
                <c:pt idx="14">
                  <c:v>商业服务业等支出</c:v>
                </c:pt>
                <c:pt idx="15">
                  <c:v>金融支出</c:v>
                </c:pt>
                <c:pt idx="16">
                  <c:v>援助其他地区支出</c:v>
                </c:pt>
                <c:pt idx="17">
                  <c:v>自然资源海洋气象等支出</c:v>
                </c:pt>
                <c:pt idx="18">
                  <c:v>住房保障支出</c:v>
                </c:pt>
                <c:pt idx="19">
                  <c:v>粮油物资储备支出</c:v>
                </c:pt>
                <c:pt idx="20">
                  <c:v>国有资本经营预算支出</c:v>
                </c:pt>
                <c:pt idx="21">
                  <c:v>灾害防治及应急管理支出</c:v>
                </c:pt>
                <c:pt idx="22">
                  <c:v>其他支出</c:v>
                </c:pt>
                <c:pt idx="23">
                  <c:v>债务还本支出</c:v>
                </c:pt>
                <c:pt idx="24">
                  <c:v>债务付息支出</c:v>
                </c:pt>
                <c:pt idx="25">
                  <c:v>抗疫特别国债安排的支出</c:v>
                </c:pt>
              </c:strCache>
            </c:strRef>
          </c:cat>
          <c:val>
            <c:numRef>
              <c:f>Sheet1!$B$2:$B$27</c:f>
              <c:numCache>
                <c:formatCode>General</c:formatCode>
                <c:ptCount val="26"/>
                <c:pt idx="0">
                  <c:v>0</c:v>
                </c:pt>
                <c:pt idx="1">
                  <c:v>0</c:v>
                </c:pt>
                <c:pt idx="2">
                  <c:v>0</c:v>
                </c:pt>
                <c:pt idx="3">
                  <c:v>0</c:v>
                </c:pt>
                <c:pt idx="4">
                  <c:v>0</c:v>
                </c:pt>
                <c:pt idx="5">
                  <c:v>0</c:v>
                </c:pt>
                <c:pt idx="6">
                  <c:v>0</c:v>
                </c:pt>
                <c:pt idx="7">
                  <c:v>43.78</c:v>
                </c:pt>
                <c:pt idx="8">
                  <c:v>6.24</c:v>
                </c:pt>
                <c:pt idx="9">
                  <c:v>420.25</c:v>
                </c:pt>
                <c:pt idx="10">
                  <c:v>0</c:v>
                </c:pt>
                <c:pt idx="11">
                  <c:v>0</c:v>
                </c:pt>
                <c:pt idx="12">
                  <c:v>0</c:v>
                </c:pt>
                <c:pt idx="13">
                  <c:v>0</c:v>
                </c:pt>
                <c:pt idx="14">
                  <c:v>0</c:v>
                </c:pt>
                <c:pt idx="15">
                  <c:v>0</c:v>
                </c:pt>
                <c:pt idx="16">
                  <c:v>0</c:v>
                </c:pt>
                <c:pt idx="17">
                  <c:v>0</c:v>
                </c:pt>
                <c:pt idx="18">
                  <c:v>12.47</c:v>
                </c:pt>
                <c:pt idx="19">
                  <c:v>0</c:v>
                </c:pt>
                <c:pt idx="20">
                  <c:v>0</c:v>
                </c:pt>
                <c:pt idx="21">
                  <c:v>0</c:v>
                </c:pt>
                <c:pt idx="22">
                  <c:v>0</c:v>
                </c:pt>
                <c:pt idx="23">
                  <c:v>0</c:v>
                </c:pt>
                <c:pt idx="24">
                  <c:v>0</c:v>
                </c:pt>
                <c:pt idx="2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tags>
    <s:tag s:spid="_x0000_s1026">
      <s:item s:name="KSO_DOCER_RESOURCE_TRACE_INFO" s:val="{&quot;id&quot;:&quot;&quot;,&quot;origin&quot;:0,&quot;type&quot;:&quot;wordart&quot;,&quot;user&quot;:&quot;292216292&quot;}"/>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2785</Words>
  <Characters>3407</Characters>
  <Lines>86</Lines>
  <Paragraphs>24</Paragraphs>
  <TotalTime>12</TotalTime>
  <ScaleCrop>false</ScaleCrop>
  <LinksUpToDate>false</LinksUpToDate>
  <CharactersWithSpaces>3734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2023-08-04T15:55:00Z</dcterms:created>
  <dc:creator>王明新TIAD</dc:creator>
  <cp:lastModifiedBy>康爱芬</cp:lastModifiedBy>
  <cp:lastPrinted>2023-08-04T09:00:00Z</cp:lastPrinted>
  <dcterms:modified xsi:type="dcterms:W3CDTF">2025-09-24T16:03:44Z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B9D4097774744A28A58B1072CF95DB35_13</vt:lpwstr>
  </property>
  <property fmtid="{D5CDD505-2E9C-101B-9397-08002B2CF9AE}" pid="4" name="KSOTemplateUUID">
    <vt:lpwstr>v1.0_mb_S7ajbG3IpAnL1wSthNCxfw==</vt:lpwstr>
  </property>
  <property fmtid="{D5CDD505-2E9C-101B-9397-08002B2CF9AE}" pid="5" name="KSOTemplateDocerSaveRecord">
    <vt:lpwstr>eyJoZGlkIjoiYjNmNjU1ODA3MTZjYzg4ZTI5ODgwYjE4YzdjZGE2MGMiLCJ1c2VySWQiOiI1MjI0OTEzMTkifQ==</vt:lpwstr>
  </property>
</Properties>
</file>