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color w:val="000000"/>
          <w:sz w:val="44"/>
          <w:szCs w:val="44"/>
          <w:lang w:eastAsia="zh-CN"/>
        </w:rPr>
      </w:pPr>
      <w:bookmarkStart w:id="0" w:name="_GoBack"/>
      <w:r>
        <w:rPr>
          <w:rFonts w:hint="eastAsia" w:ascii="方正小标宋简体" w:hAnsi="方正小标宋简体" w:eastAsia="方正小标宋简体" w:cs="方正小标宋简体"/>
          <w:b w:val="0"/>
          <w:bCs w:val="0"/>
          <w:color w:val="000000"/>
          <w:spacing w:val="0"/>
          <w:w w:val="100"/>
          <w:sz w:val="44"/>
          <w:szCs w:val="44"/>
          <w:lang w:eastAsia="zh-CN"/>
        </w:rPr>
        <w:t>衡水市第二轮省生态环境保护督察反馈意见问题</w:t>
      </w:r>
      <w:r>
        <w:rPr>
          <w:rFonts w:hint="eastAsia" w:ascii="方正小标宋简体" w:hAnsi="方正小标宋简体" w:eastAsia="方正小标宋简体" w:cs="方正小标宋简体"/>
          <w:color w:val="000000"/>
          <w:sz w:val="44"/>
          <w:szCs w:val="44"/>
          <w:lang w:eastAsia="zh-CN"/>
        </w:rPr>
        <w:t>整改“四个清单”</w:t>
      </w:r>
    </w:p>
    <w:bookmarkEnd w:id="0"/>
    <w:p>
      <w:pPr>
        <w:keepNext w:val="0"/>
        <w:keepLines w:val="0"/>
        <w:pageBreakBefore w:val="0"/>
        <w:kinsoku/>
        <w:wordWrap/>
        <w:overflowPunct/>
        <w:topLinePunct w:val="0"/>
        <w:autoSpaceDE/>
        <w:autoSpaceDN/>
        <w:bidi w:val="0"/>
        <w:adjustRightInd/>
        <w:snapToGrid/>
        <w:spacing w:line="600" w:lineRule="exact"/>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填报单位： 衡水市生态环境局                                      填报时间：2021年11月8日</w:t>
      </w:r>
    </w:p>
    <w:tbl>
      <w:tblPr>
        <w:tblStyle w:val="6"/>
        <w:tblW w:w="1398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672"/>
        <w:gridCol w:w="2353"/>
        <w:gridCol w:w="1380"/>
        <w:gridCol w:w="804"/>
        <w:gridCol w:w="3431"/>
        <w:gridCol w:w="823"/>
        <w:gridCol w:w="1080"/>
        <w:gridCol w:w="775"/>
        <w:gridCol w:w="880"/>
        <w:gridCol w:w="17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301" w:hRule="atLeast"/>
        </w:trPr>
        <w:tc>
          <w:tcPr>
            <w:tcW w:w="672" w:type="dxa"/>
            <w:vMerge w:val="restart"/>
            <w:tcBorders>
              <w:tl2br w:val="nil"/>
              <w:tr2bl w:val="nil"/>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24"/>
                <w:szCs w:val="24"/>
                <w:u w:val="none"/>
              </w:rPr>
            </w:pPr>
            <w:r>
              <w:rPr>
                <w:rFonts w:hint="eastAsia" w:asciiTheme="majorEastAsia" w:hAnsiTheme="majorEastAsia" w:eastAsiaTheme="majorEastAsia" w:cstheme="majorEastAsia"/>
                <w:b/>
                <w:bCs/>
                <w:i w:val="0"/>
                <w:color w:val="000000"/>
                <w:kern w:val="0"/>
                <w:sz w:val="24"/>
                <w:szCs w:val="24"/>
                <w:u w:val="none"/>
                <w:lang w:val="en-US" w:eastAsia="zh-CN" w:bidi="ar"/>
              </w:rPr>
              <w:t>序号</w:t>
            </w:r>
          </w:p>
        </w:tc>
        <w:tc>
          <w:tcPr>
            <w:tcW w:w="2353" w:type="dxa"/>
            <w:vMerge w:val="restart"/>
            <w:tcBorders>
              <w:tl2br w:val="nil"/>
              <w:tr2bl w:val="nil"/>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24"/>
                <w:szCs w:val="24"/>
                <w:u w:val="none"/>
              </w:rPr>
            </w:pPr>
            <w:r>
              <w:rPr>
                <w:rFonts w:hint="eastAsia" w:asciiTheme="majorEastAsia" w:hAnsiTheme="majorEastAsia" w:eastAsiaTheme="majorEastAsia" w:cstheme="majorEastAsia"/>
                <w:b/>
                <w:bCs/>
                <w:i w:val="0"/>
                <w:color w:val="000000"/>
                <w:kern w:val="0"/>
                <w:sz w:val="24"/>
                <w:szCs w:val="24"/>
                <w:u w:val="none"/>
                <w:lang w:val="en-US" w:eastAsia="zh-CN" w:bidi="ar"/>
              </w:rPr>
              <w:t>问题清单</w:t>
            </w:r>
          </w:p>
        </w:tc>
        <w:tc>
          <w:tcPr>
            <w:tcW w:w="5615" w:type="dxa"/>
            <w:gridSpan w:val="3"/>
            <w:tcBorders>
              <w:tl2br w:val="nil"/>
              <w:tr2bl w:val="nil"/>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24"/>
                <w:szCs w:val="24"/>
                <w:u w:val="none"/>
              </w:rPr>
            </w:pPr>
            <w:r>
              <w:rPr>
                <w:rFonts w:hint="eastAsia" w:asciiTheme="majorEastAsia" w:hAnsiTheme="majorEastAsia" w:eastAsiaTheme="majorEastAsia" w:cstheme="majorEastAsia"/>
                <w:b/>
                <w:bCs/>
                <w:i w:val="0"/>
                <w:color w:val="000000"/>
                <w:kern w:val="0"/>
                <w:sz w:val="24"/>
                <w:szCs w:val="24"/>
                <w:u w:val="none"/>
                <w:lang w:val="en-US" w:eastAsia="zh-CN" w:bidi="ar"/>
              </w:rPr>
              <w:t>整改清单</w:t>
            </w:r>
          </w:p>
        </w:tc>
        <w:tc>
          <w:tcPr>
            <w:tcW w:w="1903" w:type="dxa"/>
            <w:gridSpan w:val="2"/>
            <w:tcBorders>
              <w:tl2br w:val="nil"/>
              <w:tr2bl w:val="nil"/>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24"/>
                <w:szCs w:val="24"/>
                <w:u w:val="none"/>
              </w:rPr>
            </w:pPr>
            <w:r>
              <w:rPr>
                <w:rFonts w:hint="eastAsia" w:asciiTheme="majorEastAsia" w:hAnsiTheme="majorEastAsia" w:eastAsiaTheme="majorEastAsia" w:cstheme="majorEastAsia"/>
                <w:b/>
                <w:bCs/>
                <w:i w:val="0"/>
                <w:color w:val="000000"/>
                <w:kern w:val="0"/>
                <w:sz w:val="24"/>
                <w:szCs w:val="24"/>
                <w:u w:val="none"/>
                <w:lang w:val="en-US" w:eastAsia="zh-CN" w:bidi="ar"/>
              </w:rPr>
              <w:t>责任清单</w:t>
            </w:r>
          </w:p>
        </w:tc>
        <w:tc>
          <w:tcPr>
            <w:tcW w:w="3445" w:type="dxa"/>
            <w:gridSpan w:val="3"/>
            <w:tcBorders>
              <w:tl2br w:val="nil"/>
              <w:tr2bl w:val="nil"/>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24"/>
                <w:szCs w:val="24"/>
                <w:u w:val="none"/>
              </w:rPr>
            </w:pPr>
            <w:r>
              <w:rPr>
                <w:rFonts w:hint="eastAsia" w:asciiTheme="majorEastAsia" w:hAnsiTheme="majorEastAsia" w:eastAsiaTheme="majorEastAsia" w:cstheme="majorEastAsia"/>
                <w:b/>
                <w:bCs/>
                <w:i w:val="0"/>
                <w:color w:val="000000"/>
                <w:kern w:val="0"/>
                <w:sz w:val="24"/>
                <w:szCs w:val="24"/>
                <w:u w:val="none"/>
                <w:lang w:val="en-US" w:eastAsia="zh-CN" w:bidi="ar"/>
              </w:rPr>
              <w:t>效果清单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450" w:hRule="atLeast"/>
        </w:trPr>
        <w:tc>
          <w:tcPr>
            <w:tcW w:w="672" w:type="dxa"/>
            <w:vMerge w:val="continue"/>
            <w:tcBorders>
              <w:tl2br w:val="nil"/>
              <w:tr2bl w:val="nil"/>
            </w:tcBorders>
            <w:noWrap w:val="0"/>
            <w:vAlign w:val="center"/>
          </w:tcPr>
          <w:p>
            <w:pPr>
              <w:jc w:val="center"/>
              <w:rPr>
                <w:rFonts w:hint="eastAsia" w:asciiTheme="majorEastAsia" w:hAnsiTheme="majorEastAsia" w:eastAsiaTheme="majorEastAsia" w:cstheme="majorEastAsia"/>
                <w:b/>
                <w:bCs/>
                <w:i w:val="0"/>
                <w:color w:val="000000"/>
                <w:sz w:val="24"/>
                <w:szCs w:val="24"/>
                <w:u w:val="none"/>
              </w:rPr>
            </w:pPr>
          </w:p>
        </w:tc>
        <w:tc>
          <w:tcPr>
            <w:tcW w:w="2353" w:type="dxa"/>
            <w:vMerge w:val="continue"/>
            <w:tcBorders>
              <w:tl2br w:val="nil"/>
              <w:tr2bl w:val="nil"/>
            </w:tcBorders>
            <w:noWrap w:val="0"/>
            <w:vAlign w:val="center"/>
          </w:tcPr>
          <w:p>
            <w:pPr>
              <w:jc w:val="center"/>
              <w:rPr>
                <w:rFonts w:hint="eastAsia" w:asciiTheme="majorEastAsia" w:hAnsiTheme="majorEastAsia" w:eastAsiaTheme="majorEastAsia" w:cstheme="majorEastAsia"/>
                <w:b/>
                <w:bCs/>
                <w:i w:val="0"/>
                <w:color w:val="000000"/>
                <w:sz w:val="24"/>
                <w:szCs w:val="24"/>
                <w:u w:val="none"/>
              </w:rPr>
            </w:pPr>
          </w:p>
        </w:tc>
        <w:tc>
          <w:tcPr>
            <w:tcW w:w="1380" w:type="dxa"/>
            <w:tcBorders>
              <w:tl2br w:val="nil"/>
              <w:tr2bl w:val="nil"/>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24"/>
                <w:szCs w:val="24"/>
                <w:u w:val="none"/>
              </w:rPr>
            </w:pPr>
            <w:r>
              <w:rPr>
                <w:rFonts w:hint="eastAsia" w:asciiTheme="majorEastAsia" w:hAnsiTheme="majorEastAsia" w:eastAsiaTheme="majorEastAsia" w:cstheme="majorEastAsia"/>
                <w:b/>
                <w:bCs/>
                <w:i w:val="0"/>
                <w:color w:val="000000"/>
                <w:kern w:val="0"/>
                <w:sz w:val="24"/>
                <w:szCs w:val="24"/>
                <w:u w:val="none"/>
                <w:lang w:val="en-US" w:eastAsia="zh-CN" w:bidi="ar"/>
              </w:rPr>
              <w:t>整改目标</w:t>
            </w:r>
          </w:p>
        </w:tc>
        <w:tc>
          <w:tcPr>
            <w:tcW w:w="804" w:type="dxa"/>
            <w:tcBorders>
              <w:tl2br w:val="nil"/>
              <w:tr2bl w:val="nil"/>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kern w:val="0"/>
                <w:sz w:val="24"/>
                <w:szCs w:val="24"/>
                <w:u w:val="none"/>
                <w:lang w:val="en-US" w:eastAsia="zh-CN" w:bidi="ar"/>
              </w:rPr>
            </w:pPr>
            <w:r>
              <w:rPr>
                <w:rFonts w:hint="eastAsia" w:asciiTheme="majorEastAsia" w:hAnsiTheme="majorEastAsia" w:eastAsiaTheme="majorEastAsia" w:cstheme="majorEastAsia"/>
                <w:b/>
                <w:bCs/>
                <w:i w:val="0"/>
                <w:color w:val="000000"/>
                <w:kern w:val="0"/>
                <w:sz w:val="24"/>
                <w:szCs w:val="24"/>
                <w:u w:val="none"/>
                <w:lang w:val="en-US" w:eastAsia="zh-CN" w:bidi="ar"/>
              </w:rPr>
              <w:t>整改</w:t>
            </w:r>
          </w:p>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24"/>
                <w:szCs w:val="24"/>
                <w:u w:val="none"/>
              </w:rPr>
            </w:pPr>
            <w:r>
              <w:rPr>
                <w:rFonts w:hint="eastAsia" w:asciiTheme="majorEastAsia" w:hAnsiTheme="majorEastAsia" w:eastAsiaTheme="majorEastAsia" w:cstheme="majorEastAsia"/>
                <w:b/>
                <w:bCs/>
                <w:i w:val="0"/>
                <w:color w:val="000000"/>
                <w:kern w:val="0"/>
                <w:sz w:val="24"/>
                <w:szCs w:val="24"/>
                <w:u w:val="none"/>
                <w:lang w:val="en-US" w:eastAsia="zh-CN" w:bidi="ar"/>
              </w:rPr>
              <w:t>时限</w:t>
            </w:r>
          </w:p>
        </w:tc>
        <w:tc>
          <w:tcPr>
            <w:tcW w:w="3431" w:type="dxa"/>
            <w:tcBorders>
              <w:tl2br w:val="nil"/>
              <w:tr2bl w:val="nil"/>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24"/>
                <w:szCs w:val="24"/>
                <w:u w:val="none"/>
              </w:rPr>
            </w:pPr>
            <w:r>
              <w:rPr>
                <w:rFonts w:hint="eastAsia" w:asciiTheme="majorEastAsia" w:hAnsiTheme="majorEastAsia" w:eastAsiaTheme="majorEastAsia" w:cstheme="majorEastAsia"/>
                <w:b/>
                <w:bCs/>
                <w:i w:val="0"/>
                <w:color w:val="000000"/>
                <w:kern w:val="0"/>
                <w:sz w:val="24"/>
                <w:szCs w:val="24"/>
                <w:u w:val="none"/>
                <w:lang w:val="en-US" w:eastAsia="zh-CN" w:bidi="ar"/>
              </w:rPr>
              <w:t>整改措施</w:t>
            </w:r>
          </w:p>
        </w:tc>
        <w:tc>
          <w:tcPr>
            <w:tcW w:w="823" w:type="dxa"/>
            <w:tcBorders>
              <w:tl2br w:val="nil"/>
              <w:tr2bl w:val="nil"/>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24"/>
                <w:szCs w:val="24"/>
                <w:u w:val="none"/>
              </w:rPr>
            </w:pPr>
            <w:r>
              <w:rPr>
                <w:rFonts w:hint="eastAsia" w:asciiTheme="majorEastAsia" w:hAnsiTheme="majorEastAsia" w:eastAsiaTheme="majorEastAsia" w:cstheme="majorEastAsia"/>
                <w:b/>
                <w:bCs/>
                <w:i w:val="0"/>
                <w:color w:val="000000"/>
                <w:kern w:val="0"/>
                <w:sz w:val="24"/>
                <w:szCs w:val="24"/>
                <w:u w:val="none"/>
                <w:lang w:val="en-US" w:eastAsia="zh-CN" w:bidi="ar"/>
              </w:rPr>
              <w:t>责任人</w:t>
            </w:r>
          </w:p>
        </w:tc>
        <w:tc>
          <w:tcPr>
            <w:tcW w:w="1080" w:type="dxa"/>
            <w:tcBorders>
              <w:tl2br w:val="nil"/>
              <w:tr2bl w:val="nil"/>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24"/>
                <w:szCs w:val="24"/>
                <w:u w:val="none"/>
              </w:rPr>
            </w:pPr>
            <w:r>
              <w:rPr>
                <w:rFonts w:hint="eastAsia" w:asciiTheme="majorEastAsia" w:hAnsiTheme="majorEastAsia" w:eastAsiaTheme="majorEastAsia" w:cstheme="majorEastAsia"/>
                <w:b/>
                <w:bCs/>
                <w:i w:val="0"/>
                <w:color w:val="000000"/>
                <w:kern w:val="0"/>
                <w:sz w:val="24"/>
                <w:szCs w:val="24"/>
                <w:u w:val="none"/>
                <w:lang w:val="en-US" w:eastAsia="zh-CN" w:bidi="ar"/>
              </w:rPr>
              <w:t>责任单位</w:t>
            </w:r>
          </w:p>
        </w:tc>
        <w:tc>
          <w:tcPr>
            <w:tcW w:w="775" w:type="dxa"/>
            <w:tcBorders>
              <w:tl2br w:val="nil"/>
              <w:tr2bl w:val="nil"/>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24"/>
                <w:szCs w:val="24"/>
                <w:u w:val="none"/>
              </w:rPr>
            </w:pPr>
            <w:r>
              <w:rPr>
                <w:rFonts w:hint="eastAsia" w:asciiTheme="majorEastAsia" w:hAnsiTheme="majorEastAsia" w:eastAsiaTheme="majorEastAsia" w:cstheme="majorEastAsia"/>
                <w:b/>
                <w:bCs/>
                <w:i w:val="0"/>
                <w:color w:val="000000"/>
                <w:kern w:val="0"/>
                <w:sz w:val="24"/>
                <w:szCs w:val="24"/>
                <w:u w:val="none"/>
                <w:lang w:val="en-US" w:eastAsia="zh-CN" w:bidi="ar"/>
              </w:rPr>
              <w:t>是否整改完成</w:t>
            </w:r>
          </w:p>
        </w:tc>
        <w:tc>
          <w:tcPr>
            <w:tcW w:w="880" w:type="dxa"/>
            <w:tcBorders>
              <w:right w:val="single" w:color="auto" w:sz="4" w:space="0"/>
              <w:tl2br w:val="nil"/>
              <w:tr2bl w:val="nil"/>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sz w:val="24"/>
                <w:szCs w:val="24"/>
                <w:u w:val="none"/>
                <w:lang w:eastAsia="zh-CN"/>
              </w:rPr>
            </w:pPr>
            <w:r>
              <w:rPr>
                <w:rFonts w:hint="eastAsia" w:asciiTheme="majorEastAsia" w:hAnsiTheme="majorEastAsia" w:eastAsiaTheme="majorEastAsia" w:cstheme="majorEastAsia"/>
                <w:b/>
                <w:bCs/>
                <w:i w:val="0"/>
                <w:color w:val="000000"/>
                <w:sz w:val="24"/>
                <w:szCs w:val="24"/>
                <w:u w:val="none"/>
                <w:lang w:eastAsia="zh-CN"/>
              </w:rPr>
              <w:t>是否验收完成</w:t>
            </w:r>
          </w:p>
        </w:tc>
        <w:tc>
          <w:tcPr>
            <w:tcW w:w="1790" w:type="dxa"/>
            <w:tcBorders>
              <w:left w:val="single" w:color="auto" w:sz="4" w:space="0"/>
              <w:tl2br w:val="nil"/>
              <w:tr2bl w:val="nil"/>
            </w:tcBorders>
            <w:noWrap w:val="0"/>
            <w:vAlign w:val="center"/>
          </w:tcPr>
          <w:p>
            <w:pPr>
              <w:keepNext w:val="0"/>
              <w:keepLines w:val="0"/>
              <w:widowControl/>
              <w:suppressLineNumbers w:val="0"/>
              <w:jc w:val="center"/>
              <w:textAlignment w:val="center"/>
              <w:rPr>
                <w:rFonts w:hint="eastAsia" w:asciiTheme="majorEastAsia" w:hAnsiTheme="majorEastAsia" w:eastAsiaTheme="majorEastAsia" w:cstheme="majorEastAsia"/>
                <w:b/>
                <w:bCs/>
                <w:i w:val="0"/>
                <w:color w:val="000000"/>
                <w:kern w:val="0"/>
                <w:sz w:val="24"/>
                <w:szCs w:val="24"/>
                <w:u w:val="none"/>
                <w:lang w:val="en-US" w:eastAsia="zh-CN" w:bidi="ar"/>
              </w:rPr>
            </w:pPr>
            <w:r>
              <w:rPr>
                <w:rFonts w:hint="eastAsia" w:asciiTheme="majorEastAsia" w:hAnsiTheme="majorEastAsia" w:eastAsiaTheme="majorEastAsia" w:cstheme="majorEastAsia"/>
                <w:b/>
                <w:bCs/>
                <w:i w:val="0"/>
                <w:color w:val="000000"/>
                <w:kern w:val="0"/>
                <w:sz w:val="24"/>
                <w:szCs w:val="24"/>
                <w:u w:val="none"/>
                <w:lang w:val="en-US" w:eastAsia="zh-CN" w:bidi="ar"/>
              </w:rPr>
              <w:t>整改情况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424" w:hRule="atLeast"/>
        </w:trPr>
        <w:tc>
          <w:tcPr>
            <w:tcW w:w="672" w:type="dxa"/>
            <w:tcBorders>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3</w:t>
            </w:r>
          </w:p>
        </w:tc>
        <w:tc>
          <w:tcPr>
            <w:tcW w:w="2353"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督察发现，深州市、景县、武邑县落户了16家低端落后、污染很重的电煤配送企业，这些企业大部分地面未硬化、煤场未棚化、抑尘设施简陋，重型柴油货车尾气排放突出，厂区外道路路面煤粉尘绵延几公里，煤粉尘和汽车尾气污染非常严重。</w:t>
            </w:r>
          </w:p>
        </w:tc>
        <w:tc>
          <w:tcPr>
            <w:tcW w:w="1380"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提高高新产业项目占比，落实电煤配送企业规范化管理，落实硬化棚化措施，配齐污染防治设施，严格管控重型柴油车尾气排放污染，运输车辆严格执行国五排放标准。</w:t>
            </w:r>
          </w:p>
        </w:tc>
        <w:tc>
          <w:tcPr>
            <w:tcW w:w="804"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2021年5月31日</w:t>
            </w:r>
          </w:p>
        </w:tc>
        <w:tc>
          <w:tcPr>
            <w:tcW w:w="3431"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督促相关县市区加强对电煤配送企业料场的督导检查，监督电煤配送企业严格落实各项环保措施，配套建设车辆冲洗平台，建设喷淋雾炮等抑尘装置；依据《产业结构调整指导目录》，在符合国家产业政策范围内对企业自主申报项目严格审查，千方百计引进高新技术产业，严把项目备案审查关口，杜绝落后产能、夕阳产业项目落户，助力产业结构升级；严格落实《河北省企业投资项目核准和备案实施办法》、《产业结构调整目录》、《河北省新增限制和淘汰类产业目录》等规定，对符合准入条件的企业投资项目高效便捷办理职责范围内相关审批手续。</w:t>
            </w:r>
          </w:p>
        </w:tc>
        <w:tc>
          <w:tcPr>
            <w:tcW w:w="823"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rPr>
              <w:t>李连兵</w:t>
            </w:r>
            <w:r>
              <w:rPr>
                <w:rFonts w:hint="eastAsia" w:ascii="仿宋_GB2312" w:hAnsi="仿宋_GB2312" w:eastAsia="仿宋_GB2312" w:cs="仿宋_GB2312"/>
                <w:i w:val="0"/>
                <w:color w:val="000000"/>
                <w:sz w:val="21"/>
                <w:szCs w:val="21"/>
                <w:u w:val="none"/>
                <w:lang w:eastAsia="zh-CN"/>
              </w:rPr>
              <w:t>、游晨、许建新、贾仪云、于波、王悦、王成宗</w:t>
            </w:r>
          </w:p>
        </w:tc>
        <w:tc>
          <w:tcPr>
            <w:tcW w:w="1080"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rPr>
              <w:t>市生态环境局</w:t>
            </w:r>
            <w:r>
              <w:rPr>
                <w:rFonts w:hint="eastAsia" w:ascii="仿宋_GB2312" w:hAnsi="仿宋_GB2312" w:eastAsia="仿宋_GB2312" w:cs="仿宋_GB2312"/>
                <w:i w:val="0"/>
                <w:color w:val="000000"/>
                <w:sz w:val="21"/>
                <w:szCs w:val="21"/>
                <w:u w:val="none"/>
                <w:lang w:eastAsia="zh-CN"/>
              </w:rPr>
              <w:t>、市发展和改革委员会、市工业和信息化局、市行政审批局，深州市人民政府、景县人民政府、武邑县人民政府</w:t>
            </w:r>
          </w:p>
        </w:tc>
        <w:tc>
          <w:tcPr>
            <w:tcW w:w="775" w:type="dxa"/>
            <w:tcBorders>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lang w:val="en-US" w:eastAsia="zh-CN"/>
              </w:rPr>
              <w:t>是</w:t>
            </w:r>
          </w:p>
        </w:tc>
        <w:tc>
          <w:tcPr>
            <w:tcW w:w="880" w:type="dxa"/>
            <w:tcBorders>
              <w:right w:val="single" w:color="auto" w:sz="4" w:space="0"/>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是</w:t>
            </w:r>
          </w:p>
        </w:tc>
        <w:tc>
          <w:tcPr>
            <w:tcW w:w="1790" w:type="dxa"/>
            <w:tcBorders>
              <w:left w:val="single" w:color="auto" w:sz="4" w:space="0"/>
              <w:tl2br w:val="nil"/>
              <w:tr2bl w:val="nil"/>
            </w:tcBorders>
            <w:noWrap w:val="0"/>
            <w:vAlign w:val="center"/>
          </w:tcPr>
          <w:p>
            <w:pP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rPr>
              <w:t>武邑县顺通物流服务有限公司和三益货物储存转运站依法进行取缔，所有电煤和设备全部清除。</w:t>
            </w:r>
            <w:r>
              <w:rPr>
                <w:rFonts w:hint="eastAsia" w:ascii="仿宋_GB2312" w:hAnsi="仿宋_GB2312" w:eastAsia="仿宋_GB2312" w:cs="仿宋_GB2312"/>
                <w:i w:val="0"/>
                <w:color w:val="000000"/>
                <w:sz w:val="21"/>
                <w:szCs w:val="21"/>
                <w:u w:val="none"/>
                <w:lang w:eastAsia="zh-CN"/>
              </w:rPr>
              <w:t>其他</w:t>
            </w:r>
            <w:r>
              <w:rPr>
                <w:rFonts w:hint="eastAsia" w:ascii="仿宋_GB2312" w:hAnsi="仿宋_GB2312" w:eastAsia="仿宋_GB2312" w:cs="仿宋_GB2312"/>
                <w:i w:val="0"/>
                <w:color w:val="000000"/>
                <w:sz w:val="21"/>
                <w:szCs w:val="21"/>
                <w:u w:val="none"/>
              </w:rPr>
              <w:t>电煤配送企业规范化管理，落实硬化棚化措施，配齐污染防治设施</w:t>
            </w:r>
            <w:r>
              <w:rPr>
                <w:rFonts w:hint="eastAsia" w:ascii="仿宋_GB2312" w:hAnsi="仿宋_GB2312" w:eastAsia="仿宋_GB2312" w:cs="仿宋_GB2312"/>
                <w:i w:val="0"/>
                <w:color w:val="000000"/>
                <w:sz w:val="21"/>
                <w:szCs w:val="21"/>
                <w:u w:val="none"/>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8451" w:hRule="atLeast"/>
        </w:trPr>
        <w:tc>
          <w:tcPr>
            <w:tcW w:w="672" w:type="dxa"/>
            <w:tcBorders>
              <w:tl2br w:val="nil"/>
              <w:tr2bl w:val="nil"/>
            </w:tcBorders>
            <w:noWrap w:val="0"/>
            <w:vAlign w:val="center"/>
          </w:tcPr>
          <w:p>
            <w:pPr>
              <w:jc w:val="cente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15</w:t>
            </w:r>
          </w:p>
        </w:tc>
        <w:tc>
          <w:tcPr>
            <w:tcW w:w="2353"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深州经开区属地环境管理责任落实不到位，企业监管存在盲区，无对企业日常巡查记录，巡查发现的环境违法问题未向相关部门移送，督察组抽查的企业、在建的项目施工场地环境违法问题突出。</w:t>
            </w:r>
          </w:p>
        </w:tc>
        <w:tc>
          <w:tcPr>
            <w:tcW w:w="1380"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深州市开发区加强对企业巡查力度，提高巡查频次，做好巡查记录并存档备查。巡查过程中发现的问题拒不整改或存在环境违法问题的企业移交相关部门处理。加大施工场地扬尘污染环境违法行为监督检查力度和移交力度，对拒不整改的或有环境违法问题的企业按规定移交相关部门处罚。</w:t>
            </w:r>
          </w:p>
        </w:tc>
        <w:tc>
          <w:tcPr>
            <w:tcW w:w="804"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立行立改</w:t>
            </w:r>
          </w:p>
        </w:tc>
        <w:tc>
          <w:tcPr>
            <w:tcW w:w="3431"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1）加强对涉气企业管理：一是加大对涉气企业排查巡查力度。二是督促企业落实主体责任，确保环保设备正常运行，做好维护记录，定期更换活性炭及过滤棉，及时清理环保设备积尘。（2）针对在建项目施工场地环境违法问题，一是召开专门工作会议，进一步明确了：由专职副书记总牵头；由规划建设局局长和副局长亲自抓，规划建设局负总责。二是加大在建企业工地的管理，建立企业施工工地分包责任制，每个工地明确具体人员。三是继续加大施工场地扬尘污染环境违法行为监督检查力度和移交力度。四是区规划建设局牵头实施驻场监管、不定时巡查制度，并对巡查情况进行记录。五是对未安装视频监控和扬尘在线监测的建筑工地下达通知，派专人及时督促安装到位。</w:t>
            </w:r>
          </w:p>
        </w:tc>
        <w:tc>
          <w:tcPr>
            <w:tcW w:w="823"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李连兵</w:t>
            </w:r>
            <w:r>
              <w:rPr>
                <w:rFonts w:hint="eastAsia" w:ascii="仿宋_GB2312" w:hAnsi="仿宋_GB2312" w:eastAsia="仿宋_GB2312" w:cs="仿宋_GB2312"/>
                <w:i w:val="0"/>
                <w:color w:val="000000"/>
                <w:sz w:val="21"/>
                <w:szCs w:val="21"/>
                <w:u w:val="none"/>
                <w:lang w:eastAsia="zh-CN"/>
              </w:rPr>
              <w:t>、于波</w:t>
            </w:r>
          </w:p>
        </w:tc>
        <w:tc>
          <w:tcPr>
            <w:tcW w:w="1080"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衡水市生态环境局、</w:t>
            </w:r>
            <w:r>
              <w:rPr>
                <w:rFonts w:hint="eastAsia" w:ascii="仿宋_GB2312" w:hAnsi="仿宋_GB2312" w:eastAsia="仿宋_GB2312" w:cs="仿宋_GB2312"/>
                <w:i w:val="0"/>
                <w:color w:val="000000"/>
                <w:sz w:val="21"/>
                <w:szCs w:val="21"/>
                <w:u w:val="none"/>
              </w:rPr>
              <w:t>深州市人民政府</w:t>
            </w:r>
          </w:p>
        </w:tc>
        <w:tc>
          <w:tcPr>
            <w:tcW w:w="775" w:type="dxa"/>
            <w:tcBorders>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是</w:t>
            </w:r>
          </w:p>
        </w:tc>
        <w:tc>
          <w:tcPr>
            <w:tcW w:w="880" w:type="dxa"/>
            <w:tcBorders>
              <w:right w:val="single" w:color="auto" w:sz="4" w:space="0"/>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是</w:t>
            </w:r>
          </w:p>
        </w:tc>
        <w:tc>
          <w:tcPr>
            <w:tcW w:w="1790" w:type="dxa"/>
            <w:tcBorders>
              <w:left w:val="single" w:color="auto" w:sz="4" w:space="0"/>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深州市开发区加强对企业</w:t>
            </w:r>
            <w:r>
              <w:rPr>
                <w:rFonts w:hint="eastAsia" w:ascii="仿宋_GB2312" w:hAnsi="仿宋_GB2312" w:eastAsia="仿宋_GB2312" w:cs="仿宋_GB2312"/>
                <w:i w:val="0"/>
                <w:color w:val="000000"/>
                <w:sz w:val="21"/>
                <w:szCs w:val="21"/>
                <w:u w:val="none"/>
                <w:lang w:eastAsia="zh-CN"/>
              </w:rPr>
              <w:t>，尤其是涉气企业的</w:t>
            </w:r>
            <w:r>
              <w:rPr>
                <w:rFonts w:hint="eastAsia" w:ascii="仿宋_GB2312" w:hAnsi="仿宋_GB2312" w:eastAsia="仿宋_GB2312" w:cs="仿宋_GB2312"/>
                <w:i w:val="0"/>
                <w:color w:val="000000"/>
                <w:sz w:val="21"/>
                <w:szCs w:val="21"/>
                <w:u w:val="none"/>
              </w:rPr>
              <w:t>巡查力度，提高巡查频次，做好巡查记录并存档备查。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8473" w:hRule="atLeast"/>
        </w:trPr>
        <w:tc>
          <w:tcPr>
            <w:tcW w:w="672" w:type="dxa"/>
            <w:tcBorders>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rPr>
              <w:t>3</w:t>
            </w:r>
            <w:r>
              <w:rPr>
                <w:rFonts w:hint="eastAsia" w:ascii="仿宋_GB2312" w:hAnsi="仿宋_GB2312" w:eastAsia="仿宋_GB2312" w:cs="仿宋_GB2312"/>
                <w:i w:val="0"/>
                <w:color w:val="000000"/>
                <w:sz w:val="21"/>
                <w:szCs w:val="21"/>
                <w:u w:val="none"/>
                <w:lang w:val="en-US" w:eastAsia="zh-CN"/>
              </w:rPr>
              <w:t>6</w:t>
            </w:r>
          </w:p>
        </w:tc>
        <w:tc>
          <w:tcPr>
            <w:tcW w:w="2353"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衡水市基层网格化环境监管存在漏洞，跨行政区域倾倒危险废物问题时有发生，2020年以来共发生4起外市人员向衡水市域内倾倒危险废物案件。</w:t>
            </w:r>
          </w:p>
        </w:tc>
        <w:tc>
          <w:tcPr>
            <w:tcW w:w="1380"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进一步健全基层网格化环境监管体系，提高网格化环境监管效能，压实涉危险废物网格化监管责任，严厉打击非法倾倒处置危险废物行为，从源头上制止和杜绝非法倾倒处置危险废物违法犯罪行为。</w:t>
            </w:r>
          </w:p>
        </w:tc>
        <w:tc>
          <w:tcPr>
            <w:tcW w:w="804"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rPr>
              <w:t>2021年2月28日</w:t>
            </w:r>
          </w:p>
        </w:tc>
        <w:tc>
          <w:tcPr>
            <w:tcW w:w="3431"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1.制定印发《衡水市网格化环境监督管理与评估考核办法》，严格按照双网格长和分网格长制度对全市三级网格人员进行调整，对各级双网格长、分网格长落实定人定职责要求，并按规定设置专职和兼职网格员，形成四级管理、三级网格监管体系。监督各级网格落实分工负责制，做好巡查、发现、上报、处置工作，确保无缝隙对接、全过程管理、零容忍查处。</w:t>
            </w:r>
          </w:p>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2.严格落实定期评估考核工作，建立双向奖惩机制，既采取通报、约谈、督察、问责等方式，严格考核问责，又制定网格员绩效考核办法，充分调动基层网格员的工作积极性和主动性。</w:t>
            </w:r>
          </w:p>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3.保持严厉打击固体废物非法转移倾倒的高压态势，坚决打击非法倾倒行为，做到“发现一起，清理一起，查处一起”，力促工业固废有效处置，维护生态环境安全。</w:t>
            </w:r>
          </w:p>
        </w:tc>
        <w:tc>
          <w:tcPr>
            <w:tcW w:w="823"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rPr>
              <w:t>李连兵</w:t>
            </w:r>
            <w:r>
              <w:rPr>
                <w:rFonts w:hint="eastAsia" w:ascii="仿宋_GB2312" w:hAnsi="仿宋_GB2312" w:eastAsia="仿宋_GB2312" w:cs="仿宋_GB2312"/>
                <w:i w:val="0"/>
                <w:color w:val="000000"/>
                <w:sz w:val="21"/>
                <w:szCs w:val="21"/>
                <w:u w:val="none"/>
                <w:lang w:eastAsia="zh-CN"/>
              </w:rPr>
              <w:t>、崔邦文、张洪涛、刘新营、王成宗、于波、张双翼、李信华、曹向东、王立峰、王悦、石瑞发、王建明、袁博</w:t>
            </w:r>
          </w:p>
        </w:tc>
        <w:tc>
          <w:tcPr>
            <w:tcW w:w="1080"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rPr>
              <w:t>市生态环境局</w:t>
            </w:r>
            <w:r>
              <w:rPr>
                <w:rFonts w:hint="eastAsia" w:ascii="仿宋_GB2312" w:hAnsi="仿宋_GB2312" w:eastAsia="仿宋_GB2312" w:cs="仿宋_GB2312"/>
                <w:i w:val="0"/>
                <w:color w:val="000000"/>
                <w:sz w:val="21"/>
                <w:szCs w:val="21"/>
                <w:u w:val="none"/>
                <w:lang w:eastAsia="zh-CN"/>
              </w:rPr>
              <w:t>、各县市区人民政府，衡水高新区和滨湖新区管委会</w:t>
            </w:r>
          </w:p>
        </w:tc>
        <w:tc>
          <w:tcPr>
            <w:tcW w:w="775" w:type="dxa"/>
            <w:tcBorders>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是</w:t>
            </w:r>
          </w:p>
        </w:tc>
        <w:tc>
          <w:tcPr>
            <w:tcW w:w="880" w:type="dxa"/>
            <w:tcBorders>
              <w:right w:val="single" w:color="auto" w:sz="4" w:space="0"/>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是</w:t>
            </w:r>
          </w:p>
        </w:tc>
        <w:tc>
          <w:tcPr>
            <w:tcW w:w="1790" w:type="dxa"/>
            <w:tcBorders>
              <w:left w:val="single" w:color="auto" w:sz="4" w:space="0"/>
              <w:tl2br w:val="nil"/>
              <w:tr2bl w:val="nil"/>
            </w:tcBorders>
            <w:noWrap w:val="0"/>
            <w:vAlign w:val="center"/>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rPr>
              <w:t>制定印发《衡水市网格化环境监督管理与评估考核办法》，严格评估考核工作</w:t>
            </w:r>
            <w:r>
              <w:rPr>
                <w:rFonts w:hint="eastAsia" w:ascii="仿宋_GB2312" w:hAnsi="仿宋_GB2312" w:eastAsia="仿宋_GB2312" w:cs="仿宋_GB2312"/>
                <w:i w:val="0"/>
                <w:color w:val="000000"/>
                <w:sz w:val="21"/>
                <w:szCs w:val="21"/>
                <w:u w:val="none"/>
                <w:lang w:eastAsia="zh-CN"/>
              </w:rPr>
              <w:t>。</w:t>
            </w:r>
            <w:r>
              <w:rPr>
                <w:rFonts w:hint="eastAsia" w:ascii="仿宋_GB2312" w:hAnsi="仿宋_GB2312" w:eastAsia="仿宋_GB2312" w:cs="仿宋_GB2312"/>
                <w:i w:val="0"/>
                <w:color w:val="000000"/>
                <w:sz w:val="21"/>
                <w:szCs w:val="21"/>
                <w:u w:val="none"/>
              </w:rPr>
              <w:t>保持严厉打击固体废物非法转移倾倒的高压态势，坚决打击非法倾倒行为，做到“发现一起，清理一起，查处一起”，维护生态环境安全。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8450" w:hRule="atLeast"/>
        </w:trPr>
        <w:tc>
          <w:tcPr>
            <w:tcW w:w="672" w:type="dxa"/>
            <w:tcBorders>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rPr>
              <w:t>3</w:t>
            </w:r>
            <w:r>
              <w:rPr>
                <w:rFonts w:hint="eastAsia" w:ascii="仿宋_GB2312" w:hAnsi="仿宋_GB2312" w:eastAsia="仿宋_GB2312" w:cs="仿宋_GB2312"/>
                <w:i w:val="0"/>
                <w:color w:val="000000"/>
                <w:sz w:val="21"/>
                <w:szCs w:val="21"/>
                <w:u w:val="none"/>
                <w:lang w:val="en-US" w:eastAsia="zh-CN"/>
              </w:rPr>
              <w:t>8</w:t>
            </w:r>
          </w:p>
        </w:tc>
        <w:tc>
          <w:tcPr>
            <w:tcW w:w="2353"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themeColor="text1"/>
                <w:sz w:val="21"/>
                <w:szCs w:val="21"/>
                <w:u w:val="none"/>
                <w14:textFill>
                  <w14:solidFill>
                    <w14:schemeClr w14:val="tx1"/>
                  </w14:solidFill>
                </w14:textFill>
              </w:rPr>
              <w:t>部分企业未认真履行危险废物污染防治责任，跨行政区域运输危险废物，存在危险废物污染重大环境隐患。桃城区邯钢集团衡水薄板有限责任公司年跨区（县）运输再生盐酸及危险废物（废盐酸）上万吨，未严格履行危险废物转移联单制度。</w:t>
            </w:r>
          </w:p>
        </w:tc>
        <w:tc>
          <w:tcPr>
            <w:tcW w:w="1380"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酸洗车间停产，不再产生废盐酸，不再跨区运输废酸。河钢集团衡水板业有限公司接收处置桃城区邯钢集团衡水薄板有限责任公司废盐酸时严格履行危险废物转移联单制度。</w:t>
            </w:r>
          </w:p>
        </w:tc>
        <w:tc>
          <w:tcPr>
            <w:tcW w:w="804"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立行立改</w:t>
            </w:r>
          </w:p>
        </w:tc>
        <w:tc>
          <w:tcPr>
            <w:tcW w:w="3431"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1.为防止废酸运输途中发生泄露等突发环境事件，制定废酸运输突发环境事件应急预案。</w:t>
            </w:r>
          </w:p>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2.坚持废酸有专用车辆运输，新老厂区均如实记录废酸转移台账和接收台账，并定期进行核对，确保废酸转运不出现任何纰漏。</w:t>
            </w:r>
          </w:p>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3.从2020年11月29日起，河钢集团衡水板业在未取得危险废物收集处置许可证前，不得接收桃城区邯钢集团衡水薄板有限责任公司废盐酸；待取得相关手续后方可允许接收，并严格按照相关制度执行。由武邑县生态环境分局有关执法人员加强巡查力度，确保该公司按要求进行整改。</w:t>
            </w:r>
          </w:p>
        </w:tc>
        <w:tc>
          <w:tcPr>
            <w:tcW w:w="823"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rPr>
              <w:t>李连兵</w:t>
            </w:r>
            <w:r>
              <w:rPr>
                <w:rFonts w:hint="eastAsia" w:ascii="仿宋_GB2312" w:hAnsi="仿宋_GB2312" w:eastAsia="仿宋_GB2312" w:cs="仿宋_GB2312"/>
                <w:i w:val="0"/>
                <w:color w:val="000000"/>
                <w:sz w:val="21"/>
                <w:szCs w:val="21"/>
                <w:u w:val="none"/>
                <w:lang w:eastAsia="zh-CN"/>
              </w:rPr>
              <w:t>、崔邦文、王成宗</w:t>
            </w:r>
          </w:p>
        </w:tc>
        <w:tc>
          <w:tcPr>
            <w:tcW w:w="1080"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rPr>
              <w:t>市生态环境局</w:t>
            </w:r>
            <w:r>
              <w:rPr>
                <w:rFonts w:hint="eastAsia" w:ascii="仿宋_GB2312" w:hAnsi="仿宋_GB2312" w:eastAsia="仿宋_GB2312" w:cs="仿宋_GB2312"/>
                <w:i w:val="0"/>
                <w:color w:val="000000"/>
                <w:sz w:val="21"/>
                <w:szCs w:val="21"/>
                <w:u w:val="none"/>
                <w:lang w:eastAsia="zh-CN"/>
              </w:rPr>
              <w:t>、桃城区人民政府、武邑县人民政府</w:t>
            </w:r>
          </w:p>
        </w:tc>
        <w:tc>
          <w:tcPr>
            <w:tcW w:w="775" w:type="dxa"/>
            <w:tcBorders>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是</w:t>
            </w:r>
          </w:p>
        </w:tc>
        <w:tc>
          <w:tcPr>
            <w:tcW w:w="880" w:type="dxa"/>
            <w:tcBorders>
              <w:right w:val="single" w:color="auto" w:sz="4" w:space="0"/>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是</w:t>
            </w:r>
          </w:p>
        </w:tc>
        <w:tc>
          <w:tcPr>
            <w:tcW w:w="1790" w:type="dxa"/>
            <w:tcBorders>
              <w:left w:val="single" w:color="auto" w:sz="4" w:space="0"/>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邯钢集团衡水板业有限责任公司（老厂区）隶属河钢集团衡水板业有限公司（新厂区）子公司，系同一套领导班子，同一法人，老厂区产生的废酸由新厂区再生循环利用，中间无经营利益关系。该公司酸洗生产线已于2020年11月24日正式停产，</w:t>
            </w:r>
            <w:r>
              <w:rPr>
                <w:rFonts w:hint="eastAsia" w:ascii="仿宋_GB2312" w:hAnsi="仿宋_GB2312" w:eastAsia="仿宋_GB2312" w:cs="仿宋_GB2312"/>
                <w:i w:val="0"/>
                <w:color w:val="000000" w:themeColor="text1"/>
                <w:sz w:val="21"/>
                <w:szCs w:val="21"/>
                <w:u w:val="none"/>
                <w14:textFill>
                  <w14:solidFill>
                    <w14:schemeClr w14:val="tx1"/>
                  </w14:solidFill>
                </w14:textFill>
              </w:rPr>
              <w:t>酸洗板由河钢集团衡水板业有限公司（新厂区）提供，厂区内已无废酸，也不再产生废酸，不再跨区运输废盐酸。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Ex>
        <w:trPr>
          <w:trHeight w:val="1134" w:hRule="atLeast"/>
        </w:trPr>
        <w:tc>
          <w:tcPr>
            <w:tcW w:w="672" w:type="dxa"/>
            <w:tcBorders>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val="en-US" w:eastAsia="zh-CN"/>
              </w:rPr>
            </w:pPr>
            <w:r>
              <w:rPr>
                <w:rFonts w:hint="eastAsia" w:ascii="仿宋_GB2312" w:hAnsi="仿宋_GB2312" w:eastAsia="仿宋_GB2312" w:cs="仿宋_GB2312"/>
                <w:i w:val="0"/>
                <w:color w:val="000000"/>
                <w:sz w:val="21"/>
                <w:szCs w:val="21"/>
                <w:u w:val="none"/>
              </w:rPr>
              <w:t>5</w:t>
            </w:r>
            <w:r>
              <w:rPr>
                <w:rFonts w:hint="eastAsia" w:ascii="仿宋_GB2312" w:hAnsi="仿宋_GB2312" w:eastAsia="仿宋_GB2312" w:cs="仿宋_GB2312"/>
                <w:i w:val="0"/>
                <w:color w:val="000000"/>
                <w:sz w:val="21"/>
                <w:szCs w:val="21"/>
                <w:u w:val="none"/>
                <w:lang w:val="en-US" w:eastAsia="zh-CN"/>
              </w:rPr>
              <w:t>3</w:t>
            </w:r>
          </w:p>
        </w:tc>
        <w:tc>
          <w:tcPr>
            <w:tcW w:w="2353"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安平县、饶阳县、深州市等县电镀、热镀企业生产用水量与酸洗废水处理量不平衡，酸洗废水处理、废盐酸等危险废物处置、酸雾净化等环境监管难度较大。</w:t>
            </w:r>
          </w:p>
        </w:tc>
        <w:tc>
          <w:tcPr>
            <w:tcW w:w="1380"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对电镀、热镀企业规范化管理，加大检查力度，增上监控设施，严查环境违法行为，杜绝环境安全隐患，维护经济与环境的可持续发展。</w:t>
            </w:r>
          </w:p>
        </w:tc>
        <w:tc>
          <w:tcPr>
            <w:tcW w:w="804"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2021年1月31日</w:t>
            </w:r>
          </w:p>
        </w:tc>
        <w:tc>
          <w:tcPr>
            <w:tcW w:w="3431"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1.加强企业污染治理设施正常运行，健全污染治理设施运行台账、加药记录，在生产用总进水口、酸洗工序进水口、冷却和酸雾吸收工序进水口加装用水流量设施，监督用水量。</w:t>
            </w:r>
          </w:p>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2.按照《危险废物规范化管理指标体系》，规范危险废物贮存场所和危废台账，制定应急预案。</w:t>
            </w:r>
          </w:p>
          <w:p>
            <w:pPr>
              <w:rPr>
                <w:rFonts w:hint="eastAsia" w:ascii="仿宋_GB2312" w:hAnsi="仿宋_GB2312" w:eastAsia="仿宋_GB2312" w:cs="仿宋_GB2312"/>
                <w:i w:val="0"/>
                <w:color w:val="000000"/>
                <w:sz w:val="21"/>
                <w:szCs w:val="21"/>
                <w:u w:val="none"/>
              </w:rPr>
            </w:pPr>
            <w:r>
              <w:rPr>
                <w:rFonts w:hint="eastAsia" w:ascii="仿宋_GB2312" w:hAnsi="仿宋_GB2312" w:eastAsia="仿宋_GB2312" w:cs="仿宋_GB2312"/>
                <w:i w:val="0"/>
                <w:color w:val="000000"/>
                <w:sz w:val="21"/>
                <w:szCs w:val="21"/>
                <w:u w:val="none"/>
              </w:rPr>
              <w:t>3.增加现场执法频次，加大监管力度，严厉打击违法行为。</w:t>
            </w:r>
          </w:p>
        </w:tc>
        <w:tc>
          <w:tcPr>
            <w:tcW w:w="823"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rPr>
              <w:t>李连兵</w:t>
            </w:r>
            <w:r>
              <w:rPr>
                <w:rFonts w:hint="eastAsia" w:ascii="仿宋_GB2312" w:hAnsi="仿宋_GB2312" w:eastAsia="仿宋_GB2312" w:cs="仿宋_GB2312"/>
                <w:i w:val="0"/>
                <w:color w:val="000000"/>
                <w:sz w:val="21"/>
                <w:szCs w:val="21"/>
                <w:u w:val="none"/>
                <w:lang w:eastAsia="zh-CN"/>
              </w:rPr>
              <w:t>、曹向东、李信华、于波</w:t>
            </w:r>
          </w:p>
        </w:tc>
        <w:tc>
          <w:tcPr>
            <w:tcW w:w="1080" w:type="dxa"/>
            <w:tcBorders>
              <w:tl2br w:val="nil"/>
              <w:tr2bl w:val="nil"/>
            </w:tcBorders>
            <w:noWrap w:val="0"/>
            <w:vAlign w:val="center"/>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rPr>
              <w:t>市生态环境局</w:t>
            </w:r>
            <w:r>
              <w:rPr>
                <w:rFonts w:hint="eastAsia" w:ascii="仿宋_GB2312" w:hAnsi="仿宋_GB2312" w:eastAsia="仿宋_GB2312" w:cs="仿宋_GB2312"/>
                <w:i w:val="0"/>
                <w:color w:val="000000"/>
                <w:sz w:val="21"/>
                <w:szCs w:val="21"/>
                <w:u w:val="none"/>
                <w:lang w:eastAsia="zh-CN"/>
              </w:rPr>
              <w:t>、安平县人民政府、饶阳县人民政府、深州人民市政府</w:t>
            </w:r>
          </w:p>
        </w:tc>
        <w:tc>
          <w:tcPr>
            <w:tcW w:w="775" w:type="dxa"/>
            <w:tcBorders>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是</w:t>
            </w:r>
          </w:p>
        </w:tc>
        <w:tc>
          <w:tcPr>
            <w:tcW w:w="880" w:type="dxa"/>
            <w:tcBorders>
              <w:right w:val="single" w:color="auto" w:sz="4" w:space="0"/>
              <w:tl2br w:val="nil"/>
              <w:tr2bl w:val="nil"/>
            </w:tcBorders>
            <w:noWrap w:val="0"/>
            <w:vAlign w:val="center"/>
          </w:tcPr>
          <w:p>
            <w:pPr>
              <w:jc w:val="cente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lang w:eastAsia="zh-CN"/>
              </w:rPr>
              <w:t>是</w:t>
            </w:r>
          </w:p>
        </w:tc>
        <w:tc>
          <w:tcPr>
            <w:tcW w:w="1790" w:type="dxa"/>
            <w:tcBorders>
              <w:left w:val="single" w:color="auto" w:sz="4" w:space="0"/>
              <w:tl2br w:val="nil"/>
              <w:tr2bl w:val="nil"/>
            </w:tcBorders>
            <w:noWrap w:val="0"/>
            <w:vAlign w:val="center"/>
          </w:tcPr>
          <w:p>
            <w:pPr>
              <w:rPr>
                <w:rFonts w:hint="eastAsia" w:ascii="仿宋_GB2312" w:hAnsi="仿宋_GB2312" w:eastAsia="仿宋_GB2312" w:cs="仿宋_GB2312"/>
                <w:i w:val="0"/>
                <w:color w:val="000000"/>
                <w:sz w:val="21"/>
                <w:szCs w:val="21"/>
                <w:u w:val="none"/>
                <w:lang w:eastAsia="zh-CN"/>
              </w:rPr>
            </w:pPr>
            <w:r>
              <w:rPr>
                <w:rFonts w:hint="eastAsia" w:ascii="仿宋_GB2312" w:hAnsi="仿宋_GB2312" w:eastAsia="仿宋_GB2312" w:cs="仿宋_GB2312"/>
                <w:i w:val="0"/>
                <w:color w:val="000000"/>
                <w:sz w:val="21"/>
                <w:szCs w:val="21"/>
                <w:u w:val="none"/>
              </w:rPr>
              <w:t>对电镀、热镀企业规范化管理，加大检查力度，严查环境违法行为</w:t>
            </w:r>
            <w:r>
              <w:rPr>
                <w:rFonts w:hint="eastAsia" w:ascii="仿宋_GB2312" w:hAnsi="仿宋_GB2312" w:eastAsia="仿宋_GB2312" w:cs="仿宋_GB2312"/>
                <w:i w:val="0"/>
                <w:color w:val="000000"/>
                <w:sz w:val="21"/>
                <w:szCs w:val="21"/>
                <w:u w:val="none"/>
                <w:lang w:eastAsia="zh-CN"/>
              </w:rPr>
              <w:t>。</w:t>
            </w:r>
          </w:p>
        </w:tc>
      </w:tr>
    </w:tbl>
    <w:p>
      <w:pPr>
        <w:keepNext w:val="0"/>
        <w:keepLines w:val="0"/>
        <w:pageBreakBefore w:val="0"/>
        <w:widowControl/>
        <w:suppressLineNumbers w:val="0"/>
        <w:kinsoku/>
        <w:overflowPunct/>
        <w:topLinePunct w:val="0"/>
        <w:autoSpaceDE/>
        <w:autoSpaceDN/>
        <w:bidi w:val="0"/>
        <w:adjustRightInd/>
        <w:snapToGrid/>
        <w:spacing w:line="600" w:lineRule="exact"/>
        <w:jc w:val="both"/>
        <w:textAlignment w:val="center"/>
        <w:rPr>
          <w:rFonts w:hint="default" w:ascii="仿宋_GB2312" w:hAnsi="仿宋_GB2312" w:eastAsia="仿宋_GB2312" w:cs="仿宋_GB2312"/>
          <w:sz w:val="32"/>
          <w:szCs w:val="32"/>
          <w:lang w:val="en-US" w:eastAsia="zh-CN"/>
        </w:rPr>
      </w:pPr>
    </w:p>
    <w:sectPr>
      <w:footerReference r:id="rId3" w:type="default"/>
      <w:pgSz w:w="16838" w:h="11906" w:orient="landscape"/>
      <w:pgMar w:top="1587" w:right="1984" w:bottom="1587" w:left="1587" w:header="851" w:footer="1247" w:gutter="0"/>
      <w:pgNumType w:fmt="decimal" w:start="1"/>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03910" cy="3473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3910" cy="3473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35pt;width:63.3pt;mso-position-horizontal:center;mso-position-horizontal-relative:margin;z-index:251659264;mso-width-relative:page;mso-height-relative:page;" filled="f" stroked="f" coordsize="21600,21600" o:gfxdata="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LxLWs1AAAAAQBAAAP&#10;AAAAAAAAAAEAIAAAACIAAABkcnMvZG93bnJldi54bWxQSwECFAAUAAAACACHTuJAcZzldRwCAAAT&#10;BAAADgAAAAAAAAABACAAAAAjAQAAZHJzL2Uyb0RvYy54bWxQSwUGAAAAAAYABgBZAQAAsQUAAAAA&#10;">
              <v:fill on="f" focussize="0,0"/>
              <v:stroke on="f" weight="0.5pt"/>
              <v:imagedata o:title=""/>
              <o:lock v:ext="edit" aspectratio="f"/>
              <v:textbox inset="0mm,0mm,0mm,0mm">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6"/>
  <w:drawingGridVerticalSpacing w:val="16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6B5E5B"/>
    <w:rsid w:val="01A47C31"/>
    <w:rsid w:val="01B4281B"/>
    <w:rsid w:val="02120CB9"/>
    <w:rsid w:val="043F5439"/>
    <w:rsid w:val="049B047B"/>
    <w:rsid w:val="04AA4973"/>
    <w:rsid w:val="08400CD9"/>
    <w:rsid w:val="08E20637"/>
    <w:rsid w:val="09040AA3"/>
    <w:rsid w:val="094F52AF"/>
    <w:rsid w:val="09B23171"/>
    <w:rsid w:val="0A863FFC"/>
    <w:rsid w:val="0AA55F7B"/>
    <w:rsid w:val="0AE43F65"/>
    <w:rsid w:val="0BC63EC1"/>
    <w:rsid w:val="0CD442D8"/>
    <w:rsid w:val="0FBE49BA"/>
    <w:rsid w:val="101A105C"/>
    <w:rsid w:val="10385A4B"/>
    <w:rsid w:val="11B65CEA"/>
    <w:rsid w:val="11D46EDA"/>
    <w:rsid w:val="11F10BB9"/>
    <w:rsid w:val="14A76D79"/>
    <w:rsid w:val="14C57799"/>
    <w:rsid w:val="15283872"/>
    <w:rsid w:val="1536022B"/>
    <w:rsid w:val="163B532D"/>
    <w:rsid w:val="16505499"/>
    <w:rsid w:val="180B3C0E"/>
    <w:rsid w:val="190D3ADB"/>
    <w:rsid w:val="19AA0AC9"/>
    <w:rsid w:val="1A312A07"/>
    <w:rsid w:val="1A3F29D2"/>
    <w:rsid w:val="1A6B58EA"/>
    <w:rsid w:val="1A7C0AD9"/>
    <w:rsid w:val="1A96267E"/>
    <w:rsid w:val="1ACB4D32"/>
    <w:rsid w:val="1C1D11CF"/>
    <w:rsid w:val="1CA85D68"/>
    <w:rsid w:val="1CB62D9A"/>
    <w:rsid w:val="1DFC245B"/>
    <w:rsid w:val="1EDE14A2"/>
    <w:rsid w:val="1F3D2F07"/>
    <w:rsid w:val="1F646742"/>
    <w:rsid w:val="1FDC5661"/>
    <w:rsid w:val="206453C2"/>
    <w:rsid w:val="2074113C"/>
    <w:rsid w:val="221A2C39"/>
    <w:rsid w:val="24330627"/>
    <w:rsid w:val="243A3BB4"/>
    <w:rsid w:val="245A0FA8"/>
    <w:rsid w:val="25F40AA8"/>
    <w:rsid w:val="261A3044"/>
    <w:rsid w:val="266650F1"/>
    <w:rsid w:val="26735412"/>
    <w:rsid w:val="26EE3245"/>
    <w:rsid w:val="28F87B1A"/>
    <w:rsid w:val="291A55DB"/>
    <w:rsid w:val="29DA01FA"/>
    <w:rsid w:val="29E12ED6"/>
    <w:rsid w:val="2A363091"/>
    <w:rsid w:val="2BDA7709"/>
    <w:rsid w:val="2CA841CA"/>
    <w:rsid w:val="2CF117B4"/>
    <w:rsid w:val="2DD52074"/>
    <w:rsid w:val="2EFC6D89"/>
    <w:rsid w:val="2F880391"/>
    <w:rsid w:val="2FC16725"/>
    <w:rsid w:val="327B0795"/>
    <w:rsid w:val="33D4215E"/>
    <w:rsid w:val="340A5864"/>
    <w:rsid w:val="34A940EC"/>
    <w:rsid w:val="34CA6706"/>
    <w:rsid w:val="352330CF"/>
    <w:rsid w:val="355F58B1"/>
    <w:rsid w:val="35ED2E37"/>
    <w:rsid w:val="36025D1A"/>
    <w:rsid w:val="36CE0167"/>
    <w:rsid w:val="39E81F26"/>
    <w:rsid w:val="3AA844E0"/>
    <w:rsid w:val="3BAC09CA"/>
    <w:rsid w:val="3EF44D2E"/>
    <w:rsid w:val="3EFD42F9"/>
    <w:rsid w:val="3F777E2C"/>
    <w:rsid w:val="40906B46"/>
    <w:rsid w:val="40962C76"/>
    <w:rsid w:val="40D31E08"/>
    <w:rsid w:val="40D677D9"/>
    <w:rsid w:val="41604909"/>
    <w:rsid w:val="41A44DD8"/>
    <w:rsid w:val="41CA51D4"/>
    <w:rsid w:val="41F15BCE"/>
    <w:rsid w:val="426020DC"/>
    <w:rsid w:val="42EB339A"/>
    <w:rsid w:val="43732785"/>
    <w:rsid w:val="439753B3"/>
    <w:rsid w:val="43B73914"/>
    <w:rsid w:val="43DE5D6B"/>
    <w:rsid w:val="44255866"/>
    <w:rsid w:val="445B2A7F"/>
    <w:rsid w:val="4536794F"/>
    <w:rsid w:val="45AC272F"/>
    <w:rsid w:val="45C87232"/>
    <w:rsid w:val="478E795A"/>
    <w:rsid w:val="47F257F0"/>
    <w:rsid w:val="49177C42"/>
    <w:rsid w:val="493924F7"/>
    <w:rsid w:val="496C62E1"/>
    <w:rsid w:val="49B0408F"/>
    <w:rsid w:val="49CB1C5D"/>
    <w:rsid w:val="4A666F44"/>
    <w:rsid w:val="4AA76024"/>
    <w:rsid w:val="4C063C4E"/>
    <w:rsid w:val="4C212A8B"/>
    <w:rsid w:val="4CEB3A6C"/>
    <w:rsid w:val="4D056BB8"/>
    <w:rsid w:val="4E4D5F5F"/>
    <w:rsid w:val="4E616102"/>
    <w:rsid w:val="50066FE7"/>
    <w:rsid w:val="506E3BAA"/>
    <w:rsid w:val="53955F18"/>
    <w:rsid w:val="53A471F3"/>
    <w:rsid w:val="53ED2236"/>
    <w:rsid w:val="543D7A33"/>
    <w:rsid w:val="54614289"/>
    <w:rsid w:val="55F44A0C"/>
    <w:rsid w:val="56E45F7D"/>
    <w:rsid w:val="57145579"/>
    <w:rsid w:val="595F3047"/>
    <w:rsid w:val="59B623EA"/>
    <w:rsid w:val="59CF0FFA"/>
    <w:rsid w:val="5AA177CC"/>
    <w:rsid w:val="5AE44F2A"/>
    <w:rsid w:val="5AEC5BF2"/>
    <w:rsid w:val="5B051843"/>
    <w:rsid w:val="5B6E53E4"/>
    <w:rsid w:val="5BF032A1"/>
    <w:rsid w:val="5C054916"/>
    <w:rsid w:val="60B91F54"/>
    <w:rsid w:val="60F063D7"/>
    <w:rsid w:val="62EB7B8A"/>
    <w:rsid w:val="63021440"/>
    <w:rsid w:val="63D64E7F"/>
    <w:rsid w:val="64EB428B"/>
    <w:rsid w:val="658467D3"/>
    <w:rsid w:val="66161CB1"/>
    <w:rsid w:val="67BE62CD"/>
    <w:rsid w:val="67DE475B"/>
    <w:rsid w:val="67F351C0"/>
    <w:rsid w:val="67F75658"/>
    <w:rsid w:val="684901A4"/>
    <w:rsid w:val="68914149"/>
    <w:rsid w:val="68A92FAE"/>
    <w:rsid w:val="68A94984"/>
    <w:rsid w:val="6A12199C"/>
    <w:rsid w:val="6A4F5022"/>
    <w:rsid w:val="6B251D4A"/>
    <w:rsid w:val="6BC77BE3"/>
    <w:rsid w:val="6BCF7161"/>
    <w:rsid w:val="6C085597"/>
    <w:rsid w:val="6C655125"/>
    <w:rsid w:val="6D2F3C05"/>
    <w:rsid w:val="6DE8009D"/>
    <w:rsid w:val="6EE524D9"/>
    <w:rsid w:val="6F7100BC"/>
    <w:rsid w:val="6FEE7621"/>
    <w:rsid w:val="70397923"/>
    <w:rsid w:val="70720AA5"/>
    <w:rsid w:val="7127537A"/>
    <w:rsid w:val="73B16496"/>
    <w:rsid w:val="740D5EC4"/>
    <w:rsid w:val="748A5198"/>
    <w:rsid w:val="759633D9"/>
    <w:rsid w:val="75BC78F5"/>
    <w:rsid w:val="772A50CB"/>
    <w:rsid w:val="77CA30E1"/>
    <w:rsid w:val="78CF40E0"/>
    <w:rsid w:val="792D6E03"/>
    <w:rsid w:val="7A4A6389"/>
    <w:rsid w:val="7BBD5FF9"/>
    <w:rsid w:val="7BD3508B"/>
    <w:rsid w:val="7C2114B9"/>
    <w:rsid w:val="7C890BEC"/>
    <w:rsid w:val="7CF40148"/>
    <w:rsid w:val="7F2E4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4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穆晓增</cp:lastModifiedBy>
  <cp:lastPrinted>2021-11-25T02:23:00Z</cp:lastPrinted>
  <dcterms:modified xsi:type="dcterms:W3CDTF">2021-11-26T02:37:40Z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F853640723DB4E8FBFA15D5EFB291339</vt:lpwstr>
  </property>
</Properties>
</file>