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783" w:rsidRDefault="00A05783" w:rsidP="00A05783">
      <w:pPr>
        <w:spacing w:afterLines="50" w:after="156" w:line="360" w:lineRule="auto"/>
        <w:jc w:val="center"/>
        <w:rPr>
          <w:rFonts w:ascii="黑体" w:eastAsia="黑体"/>
          <w:sz w:val="44"/>
          <w:szCs w:val="44"/>
        </w:rPr>
      </w:pPr>
    </w:p>
    <w:p w:rsidR="00A05783" w:rsidRDefault="00A05783" w:rsidP="00A05783">
      <w:pPr>
        <w:spacing w:afterLines="50" w:after="156" w:line="360" w:lineRule="auto"/>
        <w:jc w:val="center"/>
        <w:rPr>
          <w:rFonts w:ascii="黑体" w:eastAsia="黑体"/>
          <w:sz w:val="44"/>
          <w:szCs w:val="44"/>
        </w:rPr>
      </w:pPr>
    </w:p>
    <w:p w:rsidR="00A05783" w:rsidRDefault="00A05783" w:rsidP="00A05783">
      <w:pPr>
        <w:spacing w:afterLines="50" w:after="156" w:line="360" w:lineRule="auto"/>
        <w:jc w:val="center"/>
        <w:rPr>
          <w:rFonts w:ascii="黑体" w:eastAsia="黑体"/>
          <w:sz w:val="44"/>
          <w:szCs w:val="44"/>
        </w:rPr>
      </w:pPr>
    </w:p>
    <w:p w:rsidR="00A05783" w:rsidRPr="00872FBF" w:rsidRDefault="00A05783" w:rsidP="00A05783">
      <w:pPr>
        <w:spacing w:afterLines="50" w:after="156" w:line="360" w:lineRule="auto"/>
        <w:jc w:val="center"/>
        <w:rPr>
          <w:rFonts w:ascii="黑体" w:eastAsia="黑体"/>
          <w:sz w:val="44"/>
          <w:szCs w:val="44"/>
        </w:rPr>
      </w:pPr>
      <w:r>
        <w:rPr>
          <w:rFonts w:ascii="黑体" w:eastAsia="黑体" w:hint="eastAsia"/>
          <w:sz w:val="44"/>
          <w:szCs w:val="44"/>
        </w:rPr>
        <w:t>衡水市</w:t>
      </w:r>
      <w:r w:rsidRPr="00872FBF">
        <w:rPr>
          <w:rFonts w:ascii="黑体" w:eastAsia="黑体"/>
          <w:sz w:val="44"/>
          <w:szCs w:val="44"/>
        </w:rPr>
        <w:t>生态环境保护规划（201</w:t>
      </w:r>
      <w:r>
        <w:rPr>
          <w:rFonts w:ascii="黑体" w:eastAsia="黑体"/>
          <w:sz w:val="44"/>
          <w:szCs w:val="44"/>
        </w:rPr>
        <w:t>6</w:t>
      </w:r>
      <w:r w:rsidRPr="00872FBF">
        <w:rPr>
          <w:rFonts w:ascii="黑体" w:eastAsia="黑体"/>
          <w:sz w:val="44"/>
          <w:szCs w:val="44"/>
        </w:rPr>
        <w:t>～20</w:t>
      </w:r>
      <w:r>
        <w:rPr>
          <w:rFonts w:ascii="黑体" w:eastAsia="黑体"/>
          <w:sz w:val="44"/>
          <w:szCs w:val="44"/>
        </w:rPr>
        <w:t>3</w:t>
      </w:r>
      <w:r w:rsidRPr="00872FBF">
        <w:rPr>
          <w:rFonts w:ascii="黑体" w:eastAsia="黑体"/>
          <w:sz w:val="44"/>
          <w:szCs w:val="44"/>
        </w:rPr>
        <w:t>0</w:t>
      </w:r>
      <w:r>
        <w:rPr>
          <w:rFonts w:ascii="黑体" w:eastAsia="黑体"/>
          <w:sz w:val="44"/>
          <w:szCs w:val="44"/>
        </w:rPr>
        <w:t>）</w:t>
      </w:r>
    </w:p>
    <w:p w:rsidR="00A05783" w:rsidRPr="00872FBF" w:rsidRDefault="00A05783" w:rsidP="00A05783">
      <w:pPr>
        <w:spacing w:afterLines="50" w:after="156" w:line="360" w:lineRule="auto"/>
        <w:jc w:val="center"/>
        <w:rPr>
          <w:rFonts w:ascii="黑体" w:eastAsia="黑体"/>
          <w:sz w:val="44"/>
          <w:szCs w:val="44"/>
        </w:rPr>
      </w:pPr>
      <w:r w:rsidRPr="00872FBF">
        <w:rPr>
          <w:rFonts w:ascii="黑体" w:eastAsia="黑体" w:hint="eastAsia"/>
          <w:sz w:val="44"/>
          <w:szCs w:val="44"/>
        </w:rPr>
        <w:t>公示</w:t>
      </w:r>
    </w:p>
    <w:p w:rsidR="00A05783" w:rsidRDefault="00A05783" w:rsidP="00A05783">
      <w:pPr>
        <w:spacing w:line="360" w:lineRule="auto"/>
        <w:jc w:val="center"/>
        <w:rPr>
          <w:rFonts w:eastAsia="华文楷体"/>
          <w:b/>
          <w:sz w:val="32"/>
          <w:szCs w:val="36"/>
        </w:rPr>
      </w:pPr>
    </w:p>
    <w:p w:rsidR="00A05783" w:rsidRDefault="00A05783" w:rsidP="00A05783">
      <w:pPr>
        <w:spacing w:line="360" w:lineRule="auto"/>
        <w:jc w:val="center"/>
        <w:rPr>
          <w:rFonts w:eastAsia="华文楷体"/>
          <w:b/>
          <w:sz w:val="32"/>
          <w:szCs w:val="36"/>
        </w:rPr>
      </w:pPr>
    </w:p>
    <w:p w:rsidR="00A05783" w:rsidRDefault="00A05783" w:rsidP="00A05783">
      <w:pPr>
        <w:spacing w:line="360" w:lineRule="auto"/>
        <w:jc w:val="center"/>
        <w:rPr>
          <w:rFonts w:eastAsia="华文楷体"/>
          <w:b/>
          <w:sz w:val="32"/>
          <w:szCs w:val="36"/>
        </w:rPr>
      </w:pPr>
    </w:p>
    <w:p w:rsidR="00A05783" w:rsidRDefault="00A05783" w:rsidP="00A05783">
      <w:pPr>
        <w:spacing w:line="360" w:lineRule="auto"/>
        <w:jc w:val="center"/>
        <w:rPr>
          <w:rFonts w:eastAsia="华文楷体"/>
          <w:b/>
          <w:sz w:val="32"/>
          <w:szCs w:val="36"/>
        </w:rPr>
      </w:pPr>
    </w:p>
    <w:p w:rsidR="00A05783" w:rsidRDefault="00A05783" w:rsidP="00A05783">
      <w:pPr>
        <w:spacing w:line="360" w:lineRule="auto"/>
        <w:jc w:val="center"/>
        <w:rPr>
          <w:rFonts w:eastAsia="华文楷体"/>
          <w:b/>
          <w:sz w:val="32"/>
          <w:szCs w:val="36"/>
        </w:rPr>
      </w:pPr>
    </w:p>
    <w:p w:rsidR="00A05783" w:rsidRDefault="00A05783" w:rsidP="00A05783">
      <w:pPr>
        <w:spacing w:line="360" w:lineRule="auto"/>
        <w:jc w:val="center"/>
        <w:rPr>
          <w:rFonts w:eastAsia="华文楷体"/>
          <w:b/>
          <w:sz w:val="32"/>
          <w:szCs w:val="36"/>
        </w:rPr>
      </w:pPr>
    </w:p>
    <w:p w:rsidR="00A05783" w:rsidRDefault="00A05783" w:rsidP="00A05783">
      <w:pPr>
        <w:spacing w:line="360" w:lineRule="auto"/>
        <w:jc w:val="center"/>
        <w:rPr>
          <w:rFonts w:eastAsia="华文楷体"/>
          <w:b/>
          <w:sz w:val="32"/>
          <w:szCs w:val="36"/>
        </w:rPr>
      </w:pPr>
    </w:p>
    <w:p w:rsidR="00A05783" w:rsidRDefault="00A05783" w:rsidP="00A05783">
      <w:pPr>
        <w:spacing w:line="360" w:lineRule="auto"/>
        <w:jc w:val="center"/>
        <w:rPr>
          <w:rFonts w:eastAsia="华文楷体"/>
          <w:b/>
          <w:sz w:val="32"/>
          <w:szCs w:val="36"/>
        </w:rPr>
      </w:pPr>
    </w:p>
    <w:p w:rsidR="00A05783" w:rsidRDefault="00A05783" w:rsidP="00A05783">
      <w:pPr>
        <w:spacing w:line="360" w:lineRule="auto"/>
        <w:jc w:val="center"/>
        <w:rPr>
          <w:rFonts w:eastAsia="华文楷体"/>
          <w:b/>
          <w:sz w:val="32"/>
          <w:szCs w:val="36"/>
        </w:rPr>
      </w:pPr>
    </w:p>
    <w:p w:rsidR="00A05783" w:rsidRDefault="00A05783" w:rsidP="00A05783">
      <w:pPr>
        <w:spacing w:line="360" w:lineRule="auto"/>
        <w:rPr>
          <w:rFonts w:eastAsia="华文楷体"/>
          <w:b/>
          <w:sz w:val="32"/>
          <w:szCs w:val="36"/>
        </w:rPr>
      </w:pPr>
    </w:p>
    <w:p w:rsidR="00A05783" w:rsidRDefault="00A05783" w:rsidP="00A05783">
      <w:pPr>
        <w:pStyle w:val="Default"/>
      </w:pPr>
    </w:p>
    <w:p w:rsidR="00A05783" w:rsidRPr="00A05783" w:rsidRDefault="00A05783" w:rsidP="00A05783">
      <w:pPr>
        <w:pStyle w:val="Default"/>
        <w:jc w:val="center"/>
        <w:rPr>
          <w:rFonts w:ascii="宋体" w:eastAsia="宋体" w:hAnsi="宋体"/>
          <w:b/>
          <w:sz w:val="28"/>
          <w:szCs w:val="28"/>
        </w:rPr>
      </w:pPr>
      <w:r w:rsidRPr="00A05783">
        <w:rPr>
          <w:rFonts w:ascii="宋体" w:eastAsia="宋体" w:hAnsi="宋体" w:hint="eastAsia"/>
          <w:b/>
          <w:sz w:val="28"/>
          <w:szCs w:val="28"/>
        </w:rPr>
        <w:t>衡水市环境保护局</w:t>
      </w:r>
    </w:p>
    <w:p w:rsidR="00A05783" w:rsidRPr="00A05783" w:rsidRDefault="00A05783" w:rsidP="00A05783">
      <w:pPr>
        <w:spacing w:line="360" w:lineRule="auto"/>
        <w:jc w:val="center"/>
        <w:rPr>
          <w:rFonts w:ascii="宋体" w:hAnsi="宋体"/>
          <w:b/>
          <w:sz w:val="32"/>
          <w:szCs w:val="36"/>
        </w:rPr>
      </w:pPr>
      <w:r w:rsidRPr="00A05783">
        <w:rPr>
          <w:rFonts w:ascii="宋体" w:hAnsi="宋体" w:hint="eastAsia"/>
          <w:b/>
          <w:sz w:val="28"/>
          <w:szCs w:val="28"/>
        </w:rPr>
        <w:t>上海同济城市规划设计研究院</w:t>
      </w:r>
    </w:p>
    <w:p w:rsidR="00C10A3C" w:rsidRDefault="00C10A3C"/>
    <w:p w:rsidR="00A05783" w:rsidRDefault="00A05783"/>
    <w:p w:rsidR="00A05783" w:rsidRDefault="00A05783"/>
    <w:p w:rsidR="00A05783" w:rsidRDefault="00A05783"/>
    <w:p w:rsidR="00A05783" w:rsidRDefault="00A05783"/>
    <w:p w:rsidR="00A05783" w:rsidRDefault="00A05783"/>
    <w:p w:rsidR="00A05783" w:rsidRDefault="00A05783"/>
    <w:p w:rsidR="00177EED" w:rsidRDefault="00177EED" w:rsidP="00177EED">
      <w:pPr>
        <w:spacing w:afterLines="50" w:after="156"/>
        <w:jc w:val="center"/>
        <w:rPr>
          <w:rFonts w:ascii="宋体" w:hAnsi="宋体"/>
          <w:b/>
          <w:sz w:val="30"/>
          <w:szCs w:val="30"/>
        </w:rPr>
      </w:pPr>
      <w:bookmarkStart w:id="0" w:name="_Toc312919328"/>
      <w:bookmarkStart w:id="1" w:name="_Toc298337365"/>
      <w:bookmarkStart w:id="2" w:name="_Toc333302443"/>
      <w:bookmarkStart w:id="3" w:name="_Toc333302643"/>
      <w:r w:rsidRPr="00177EED">
        <w:rPr>
          <w:rFonts w:ascii="宋体" w:hAnsi="宋体" w:hint="eastAsia"/>
          <w:b/>
          <w:sz w:val="30"/>
          <w:szCs w:val="30"/>
        </w:rPr>
        <w:lastRenderedPageBreak/>
        <w:t>规划</w:t>
      </w:r>
      <w:r w:rsidRPr="00177EED">
        <w:rPr>
          <w:rFonts w:ascii="宋体" w:hAnsi="宋体"/>
          <w:b/>
          <w:sz w:val="30"/>
          <w:szCs w:val="30"/>
        </w:rPr>
        <w:t>概述</w:t>
      </w:r>
      <w:bookmarkStart w:id="4" w:name="_Toc287884871"/>
      <w:bookmarkStart w:id="5" w:name="_Toc312919330"/>
      <w:bookmarkStart w:id="6" w:name="_Toc298337367"/>
      <w:bookmarkStart w:id="7" w:name="_Toc333302444"/>
      <w:bookmarkStart w:id="8" w:name="_Toc333302644"/>
      <w:bookmarkEnd w:id="0"/>
      <w:bookmarkEnd w:id="1"/>
      <w:bookmarkEnd w:id="2"/>
      <w:bookmarkEnd w:id="3"/>
    </w:p>
    <w:p w:rsidR="00177EED" w:rsidRDefault="00177EED" w:rsidP="001C6291">
      <w:pPr>
        <w:pStyle w:val="1"/>
        <w:numPr>
          <w:ilvl w:val="0"/>
          <w:numId w:val="7"/>
        </w:numPr>
      </w:pPr>
      <w:r>
        <w:rPr>
          <w:rFonts w:hint="eastAsia"/>
        </w:rPr>
        <w:t>规划总则</w:t>
      </w:r>
    </w:p>
    <w:p w:rsidR="00177EED" w:rsidRPr="00177EED" w:rsidRDefault="00177EED" w:rsidP="00177EED">
      <w:pPr>
        <w:pStyle w:val="20"/>
        <w:numPr>
          <w:ilvl w:val="0"/>
          <w:numId w:val="5"/>
        </w:numPr>
        <w:rPr>
          <w:rFonts w:ascii="宋体" w:eastAsia="宋体" w:hAnsi="宋体"/>
          <w:sz w:val="28"/>
          <w:szCs w:val="28"/>
        </w:rPr>
      </w:pPr>
      <w:r w:rsidRPr="00177EED">
        <w:rPr>
          <w:rFonts w:ascii="宋体" w:eastAsia="宋体" w:hAnsi="宋体"/>
          <w:sz w:val="28"/>
          <w:szCs w:val="28"/>
        </w:rPr>
        <w:t>规划范围</w:t>
      </w:r>
      <w:bookmarkEnd w:id="4"/>
      <w:bookmarkEnd w:id="5"/>
      <w:bookmarkEnd w:id="6"/>
      <w:bookmarkEnd w:id="7"/>
      <w:bookmarkEnd w:id="8"/>
    </w:p>
    <w:p w:rsidR="00177EED" w:rsidRPr="00F70C19" w:rsidRDefault="00177EED" w:rsidP="00177EED">
      <w:pPr>
        <w:pStyle w:val="222"/>
        <w:ind w:firstLine="480"/>
        <w:rPr>
          <w:rFonts w:ascii="Times New Roman" w:eastAsia="宋体" w:hAnsi="Times New Roman" w:cs="Times New Roman"/>
        </w:rPr>
      </w:pPr>
      <w:r w:rsidRPr="00F70C19">
        <w:rPr>
          <w:rFonts w:ascii="Times New Roman" w:eastAsia="宋体" w:hAnsi="Times New Roman" w:cs="Times New Roman" w:hint="eastAsia"/>
        </w:rPr>
        <w:t>规划范围为衡水都市区，包括桃城区、冀州区和枣强、武邑两区</w:t>
      </w:r>
      <w:r w:rsidRPr="00F70C19">
        <w:rPr>
          <w:rFonts w:ascii="Times New Roman" w:eastAsia="宋体" w:hAnsi="Times New Roman" w:cs="Times New Roman"/>
        </w:rPr>
        <w:t>两</w:t>
      </w:r>
      <w:r w:rsidRPr="00F70C19">
        <w:rPr>
          <w:rFonts w:ascii="Times New Roman" w:eastAsia="宋体" w:hAnsi="Times New Roman" w:cs="Times New Roman" w:hint="eastAsia"/>
        </w:rPr>
        <w:t>县范围，总面积约</w:t>
      </w:r>
      <w:r w:rsidRPr="00F70C19">
        <w:rPr>
          <w:rFonts w:ascii="Times New Roman" w:eastAsia="宋体" w:hAnsi="Times New Roman" w:cs="Times New Roman" w:hint="eastAsia"/>
        </w:rPr>
        <w:t>3231</w:t>
      </w:r>
      <w:r w:rsidRPr="00F70C19">
        <w:rPr>
          <w:rFonts w:ascii="Times New Roman" w:eastAsia="宋体" w:hAnsi="Times New Roman" w:cs="Times New Roman" w:hint="eastAsia"/>
        </w:rPr>
        <w:t>平方公里。</w:t>
      </w:r>
    </w:p>
    <w:p w:rsidR="00177EED" w:rsidRPr="00177EED" w:rsidRDefault="00177EED" w:rsidP="00177EED">
      <w:pPr>
        <w:pStyle w:val="20"/>
        <w:numPr>
          <w:ilvl w:val="0"/>
          <w:numId w:val="5"/>
        </w:numPr>
        <w:rPr>
          <w:rFonts w:ascii="宋体" w:eastAsia="宋体" w:hAnsi="宋体"/>
          <w:sz w:val="28"/>
          <w:szCs w:val="28"/>
        </w:rPr>
      </w:pPr>
      <w:r w:rsidRPr="00177EED">
        <w:rPr>
          <w:rFonts w:ascii="宋体" w:eastAsia="宋体" w:hAnsi="宋体" w:hint="eastAsia"/>
          <w:sz w:val="28"/>
          <w:szCs w:val="28"/>
        </w:rPr>
        <w:t>规划期限</w:t>
      </w:r>
    </w:p>
    <w:p w:rsidR="00177EED" w:rsidRPr="00177EED" w:rsidRDefault="00177EED" w:rsidP="00177EED">
      <w:pPr>
        <w:pStyle w:val="222"/>
        <w:ind w:firstLine="480"/>
        <w:rPr>
          <w:rFonts w:ascii="Times New Roman" w:eastAsia="宋体" w:hAnsi="Times New Roman" w:cs="Times New Roman"/>
        </w:rPr>
      </w:pPr>
      <w:r w:rsidRPr="00F70C19">
        <w:rPr>
          <w:rFonts w:ascii="Times New Roman" w:eastAsia="宋体" w:hAnsi="Times New Roman" w:cs="Times New Roman" w:hint="eastAsia"/>
        </w:rPr>
        <w:t>规划基准年为</w:t>
      </w:r>
      <w:r w:rsidRPr="00F70C19">
        <w:rPr>
          <w:rFonts w:ascii="Times New Roman" w:eastAsia="宋体" w:hAnsi="Times New Roman" w:cs="Times New Roman" w:hint="eastAsia"/>
        </w:rPr>
        <w:t>201</w:t>
      </w:r>
      <w:r>
        <w:rPr>
          <w:rFonts w:ascii="Times New Roman" w:eastAsia="宋体" w:hAnsi="Times New Roman" w:cs="Times New Roman"/>
        </w:rPr>
        <w:t>6</w:t>
      </w:r>
      <w:r w:rsidRPr="00F70C19">
        <w:rPr>
          <w:rFonts w:ascii="Times New Roman" w:eastAsia="宋体" w:hAnsi="Times New Roman" w:cs="Times New Roman" w:hint="eastAsia"/>
        </w:rPr>
        <w:t>年，规划近期为</w:t>
      </w:r>
      <w:r w:rsidR="00735AF7">
        <w:rPr>
          <w:rFonts w:ascii="Times New Roman" w:eastAsia="宋体" w:hAnsi="Times New Roman" w:cs="Times New Roman" w:hint="eastAsia"/>
        </w:rPr>
        <w:t>2020</w:t>
      </w:r>
      <w:r w:rsidRPr="00F70C19">
        <w:rPr>
          <w:rFonts w:ascii="Times New Roman" w:eastAsia="宋体" w:hAnsi="Times New Roman" w:cs="Times New Roman" w:hint="eastAsia"/>
        </w:rPr>
        <w:t>年，规划远期为</w:t>
      </w:r>
      <w:r w:rsidRPr="00F70C19">
        <w:rPr>
          <w:rFonts w:ascii="Times New Roman" w:eastAsia="宋体" w:hAnsi="Times New Roman" w:cs="Times New Roman" w:hint="eastAsia"/>
        </w:rPr>
        <w:t>2030</w:t>
      </w:r>
      <w:r w:rsidRPr="00F70C19">
        <w:rPr>
          <w:rFonts w:ascii="Times New Roman" w:eastAsia="宋体" w:hAnsi="Times New Roman" w:cs="Times New Roman" w:hint="eastAsia"/>
        </w:rPr>
        <w:t>年，与城市总规一致。</w:t>
      </w:r>
    </w:p>
    <w:p w:rsidR="00177EED" w:rsidRPr="00177EED" w:rsidRDefault="00177EED" w:rsidP="00177EED">
      <w:pPr>
        <w:pStyle w:val="20"/>
        <w:numPr>
          <w:ilvl w:val="0"/>
          <w:numId w:val="5"/>
        </w:numPr>
        <w:rPr>
          <w:rFonts w:ascii="宋体" w:eastAsia="宋体" w:hAnsi="宋体"/>
          <w:sz w:val="28"/>
          <w:szCs w:val="28"/>
        </w:rPr>
      </w:pPr>
      <w:r w:rsidRPr="00177EED">
        <w:rPr>
          <w:rFonts w:ascii="宋体" w:eastAsia="宋体" w:hAnsi="宋体" w:hint="eastAsia"/>
          <w:sz w:val="28"/>
          <w:szCs w:val="28"/>
        </w:rPr>
        <w:t>基本原则</w:t>
      </w:r>
    </w:p>
    <w:p w:rsidR="00177EED" w:rsidRPr="00F70C19" w:rsidRDefault="00177EED" w:rsidP="00177EED">
      <w:pPr>
        <w:pStyle w:val="222"/>
        <w:ind w:firstLine="480"/>
        <w:rPr>
          <w:rFonts w:ascii="Times New Roman" w:eastAsia="宋体" w:hAnsi="Times New Roman" w:cs="Times New Roman"/>
        </w:rPr>
      </w:pPr>
      <w:r w:rsidRPr="00F70C19">
        <w:rPr>
          <w:rFonts w:ascii="Times New Roman" w:eastAsia="宋体" w:hAnsi="Times New Roman" w:cs="Times New Roman" w:hint="eastAsia"/>
        </w:rPr>
        <w:t>生态优先、协调发展。坚持生态优先的基本方针，坚持尊重自然、顺应自然、保护自然的生态文明理念，将生态文明建设放在更加突出的战略位置，使生态文明建设全面贯穿和深刻融入到经济、政治、文化和社会建设各方面和全过程。统筹生产、生活、生态三大空间，对区域水、大气、声、固废及土壤环境进行系统评估，构建生态保护红线体系，从源头布局实现生态功能保护、环境质量改善和城市建设相协调的发展格局。</w:t>
      </w:r>
    </w:p>
    <w:p w:rsidR="00177EED" w:rsidRPr="00F70C19" w:rsidRDefault="00177EED" w:rsidP="00177EED">
      <w:pPr>
        <w:pStyle w:val="222"/>
        <w:ind w:firstLine="480"/>
        <w:rPr>
          <w:rFonts w:ascii="Times New Roman" w:eastAsia="宋体" w:hAnsi="Times New Roman" w:cs="Times New Roman"/>
        </w:rPr>
      </w:pPr>
      <w:r w:rsidRPr="00F70C19">
        <w:rPr>
          <w:rFonts w:ascii="Times New Roman" w:eastAsia="宋体" w:hAnsi="Times New Roman" w:cs="Times New Roman" w:hint="eastAsia"/>
        </w:rPr>
        <w:t>以人为本、提升品质。把改善环境质量、维护人居环境健康安全作为根本出发点和立足点，切实解决损害群众健康的突出环境问题，实现环境质量改善，提高环境设施和能力建设，不断增强环境公共服务水平，让人民群众共享生态文明建设成果。</w:t>
      </w:r>
    </w:p>
    <w:p w:rsidR="00177EED" w:rsidRPr="00F70C19" w:rsidRDefault="00177EED" w:rsidP="00177EED">
      <w:pPr>
        <w:pStyle w:val="222"/>
        <w:ind w:firstLine="480"/>
        <w:rPr>
          <w:rFonts w:ascii="Times New Roman" w:eastAsia="宋体" w:hAnsi="Times New Roman" w:cs="Times New Roman"/>
        </w:rPr>
      </w:pPr>
      <w:r w:rsidRPr="00F70C19">
        <w:rPr>
          <w:rFonts w:ascii="Times New Roman" w:eastAsia="宋体" w:hAnsi="Times New Roman" w:cs="Times New Roman" w:hint="eastAsia"/>
        </w:rPr>
        <w:t>强化调控、持续发展。以环境承载力为基础，合理确定不同区域开发利用功能，优化资源开发和产业发展结构布局，实现社会经济与资源环境的可持续发展。</w:t>
      </w:r>
    </w:p>
    <w:p w:rsidR="00177EED" w:rsidRPr="00F70C19" w:rsidRDefault="00177EED" w:rsidP="00177EED">
      <w:pPr>
        <w:pStyle w:val="222"/>
        <w:ind w:firstLine="480"/>
        <w:rPr>
          <w:rFonts w:ascii="Times New Roman" w:eastAsia="宋体" w:hAnsi="Times New Roman" w:cs="Times New Roman"/>
        </w:rPr>
      </w:pPr>
      <w:r w:rsidRPr="00F70C19">
        <w:rPr>
          <w:rFonts w:ascii="Times New Roman" w:eastAsia="宋体" w:hAnsi="Times New Roman" w:cs="Times New Roman" w:hint="eastAsia"/>
        </w:rPr>
        <w:t>分区引导、科学施策。根据不同区域环境主导功能，实施分区引导，实行差异化的环境战略措施，探索环境空间管理新机制、新办法，促进自然环境持续改</w:t>
      </w:r>
      <w:r w:rsidRPr="00F70C19">
        <w:rPr>
          <w:rFonts w:ascii="Times New Roman" w:eastAsia="宋体" w:hAnsi="Times New Roman" w:cs="Times New Roman" w:hint="eastAsia"/>
        </w:rPr>
        <w:lastRenderedPageBreak/>
        <w:t>善和经济社会有序发展。</w:t>
      </w:r>
    </w:p>
    <w:p w:rsidR="00177EED" w:rsidRPr="00F70C19" w:rsidRDefault="00177EED" w:rsidP="00177EED">
      <w:pPr>
        <w:pStyle w:val="222"/>
        <w:ind w:firstLine="480"/>
        <w:rPr>
          <w:rFonts w:ascii="Times New Roman" w:eastAsia="宋体" w:hAnsi="Times New Roman" w:cs="Times New Roman"/>
        </w:rPr>
      </w:pPr>
      <w:r w:rsidRPr="00F70C19">
        <w:rPr>
          <w:rFonts w:ascii="Times New Roman" w:eastAsia="宋体" w:hAnsi="Times New Roman" w:cs="Times New Roman" w:hint="eastAsia"/>
        </w:rPr>
        <w:t>统筹规划、多规融合。与地区国民经济和社会发展规划、城市总体规划、土地利用总体规划等基础性规划衔接融合，相互支撑，为城市建设、布局优化、产业调整提供依据，为环境管理提供战略指导。</w:t>
      </w:r>
    </w:p>
    <w:p w:rsidR="00177EED" w:rsidRPr="00177EED" w:rsidRDefault="00177EED" w:rsidP="00177EED">
      <w:pPr>
        <w:pStyle w:val="20"/>
        <w:numPr>
          <w:ilvl w:val="0"/>
          <w:numId w:val="5"/>
        </w:numPr>
        <w:rPr>
          <w:rFonts w:ascii="宋体" w:eastAsia="宋体" w:hAnsi="宋体"/>
          <w:sz w:val="28"/>
          <w:szCs w:val="28"/>
        </w:rPr>
      </w:pPr>
      <w:r w:rsidRPr="00177EED">
        <w:rPr>
          <w:rFonts w:ascii="宋体" w:eastAsia="宋体" w:hAnsi="宋体" w:hint="eastAsia"/>
          <w:sz w:val="28"/>
          <w:szCs w:val="28"/>
        </w:rPr>
        <w:t>规划目标</w:t>
      </w:r>
    </w:p>
    <w:p w:rsidR="00177EED" w:rsidRPr="00F70C19" w:rsidRDefault="00177EED" w:rsidP="00177EED">
      <w:pPr>
        <w:pStyle w:val="222"/>
        <w:ind w:firstLine="480"/>
        <w:rPr>
          <w:rFonts w:ascii="Times New Roman" w:eastAsia="宋体" w:hAnsi="Times New Roman" w:cs="Times New Roman"/>
        </w:rPr>
      </w:pPr>
      <w:r w:rsidRPr="00F70C19">
        <w:rPr>
          <w:rFonts w:ascii="Times New Roman" w:eastAsia="宋体" w:hAnsi="Times New Roman" w:cs="Times New Roman" w:hint="eastAsia"/>
        </w:rPr>
        <w:t>总体目标</w:t>
      </w:r>
      <w:r w:rsidRPr="00F70C19">
        <w:rPr>
          <w:rFonts w:ascii="Times New Roman" w:eastAsia="宋体" w:hAnsi="Times New Roman" w:cs="Times New Roman"/>
        </w:rPr>
        <w:t>：</w:t>
      </w:r>
      <w:r w:rsidRPr="00F70C19">
        <w:rPr>
          <w:rFonts w:ascii="Times New Roman" w:eastAsia="宋体" w:hAnsi="Times New Roman" w:cs="Times New Roman" w:hint="eastAsia"/>
        </w:rPr>
        <w:t>将衡水市都市区建设成为生态安全格局稳固、环境质量健康、资源利用可持续、环境公共服务水平先进的生态文明城市。</w:t>
      </w:r>
    </w:p>
    <w:p w:rsidR="00177EED" w:rsidRPr="00F70C19" w:rsidRDefault="00177EED" w:rsidP="00177EED">
      <w:pPr>
        <w:pStyle w:val="222"/>
        <w:ind w:firstLine="480"/>
        <w:rPr>
          <w:rFonts w:ascii="Times New Roman" w:eastAsia="宋体" w:hAnsi="Times New Roman" w:cs="Times New Roman"/>
        </w:rPr>
      </w:pPr>
      <w:r w:rsidRPr="00F70C19">
        <w:rPr>
          <w:rFonts w:ascii="Times New Roman" w:eastAsia="宋体" w:hAnsi="Times New Roman" w:cs="Times New Roman" w:hint="eastAsia"/>
        </w:rPr>
        <w:t>近期目标：以环境质量改善为核心，环境品质和小康社会相适应。生态保护红线全面落实，空间格局得到优化；主要污染物排放总量与资源能源消耗总量完成削减要求，环境质量明显改善，环境风险得到有效控制，环境基本公共服务制度体系基本建立，建成国家环境保护模范城市。</w:t>
      </w:r>
    </w:p>
    <w:p w:rsidR="00177EED" w:rsidRPr="00F70C19" w:rsidRDefault="00177EED" w:rsidP="00177EED">
      <w:pPr>
        <w:pStyle w:val="222"/>
        <w:ind w:firstLine="480"/>
        <w:rPr>
          <w:rFonts w:ascii="Times New Roman" w:eastAsia="宋体" w:hAnsi="Times New Roman" w:cs="Times New Roman"/>
        </w:rPr>
      </w:pPr>
      <w:r w:rsidRPr="00F70C19">
        <w:rPr>
          <w:rFonts w:ascii="Times New Roman" w:eastAsia="宋体" w:hAnsi="Times New Roman" w:cs="Times New Roman" w:hint="eastAsia"/>
        </w:rPr>
        <w:t>远期目标：生态系统平衡稳定，空间布局合理；环境质量保持健康水平；资源利用高效、可持续；生态文明制度体系完善、运行有效；建成国家生态文明建设示范区。</w:t>
      </w:r>
    </w:p>
    <w:p w:rsidR="00177EED" w:rsidRPr="00177EED" w:rsidRDefault="00177EED" w:rsidP="00177EED">
      <w:pPr>
        <w:pStyle w:val="20"/>
        <w:numPr>
          <w:ilvl w:val="0"/>
          <w:numId w:val="5"/>
        </w:numPr>
        <w:rPr>
          <w:rFonts w:ascii="宋体" w:eastAsia="宋体" w:hAnsi="宋体"/>
          <w:sz w:val="28"/>
          <w:szCs w:val="28"/>
        </w:rPr>
      </w:pPr>
      <w:r w:rsidRPr="00177EED">
        <w:rPr>
          <w:rFonts w:ascii="宋体" w:eastAsia="宋体" w:hAnsi="宋体" w:hint="eastAsia"/>
          <w:sz w:val="28"/>
          <w:szCs w:val="28"/>
        </w:rPr>
        <w:t>指标体系</w:t>
      </w:r>
    </w:p>
    <w:p w:rsidR="00177EED" w:rsidRPr="00F70C19" w:rsidRDefault="00177EED" w:rsidP="00177EED">
      <w:pPr>
        <w:pStyle w:val="222"/>
        <w:ind w:firstLine="480"/>
        <w:rPr>
          <w:rFonts w:ascii="Times New Roman" w:eastAsia="宋体" w:hAnsi="Times New Roman" w:cs="Times New Roman"/>
        </w:rPr>
      </w:pPr>
      <w:r w:rsidRPr="00F70C19">
        <w:rPr>
          <w:rFonts w:ascii="Times New Roman" w:eastAsia="宋体" w:hAnsi="Times New Roman" w:cs="Times New Roman" w:hint="eastAsia"/>
        </w:rPr>
        <w:t>本规划确定了生态安全格局、环境质量、污染控制、资源利用、环境基本公共服务等五大类共计</w:t>
      </w:r>
      <w:r w:rsidRPr="00F70C19">
        <w:rPr>
          <w:rFonts w:ascii="Times New Roman" w:eastAsia="宋体" w:hAnsi="Times New Roman" w:cs="Times New Roman" w:hint="eastAsia"/>
        </w:rPr>
        <w:t>31</w:t>
      </w:r>
      <w:r w:rsidRPr="00F70C19">
        <w:rPr>
          <w:rFonts w:ascii="Times New Roman" w:eastAsia="宋体" w:hAnsi="Times New Roman" w:cs="Times New Roman" w:hint="eastAsia"/>
        </w:rPr>
        <w:t>项指标。具体指标如下表：</w:t>
      </w:r>
      <w:r w:rsidRPr="00F70C19">
        <w:rPr>
          <w:rFonts w:ascii="Times New Roman" w:eastAsia="宋体" w:hAnsi="Times New Roman" w:cs="Times New Roman"/>
        </w:rPr>
        <w:t xml:space="preserve"> </w:t>
      </w:r>
    </w:p>
    <w:p w:rsidR="00177EED" w:rsidRDefault="00177EED" w:rsidP="00177EED">
      <w:pPr>
        <w:pStyle w:val="a1"/>
        <w:spacing w:afterLines="50" w:after="156"/>
        <w:rPr>
          <w:rFonts w:ascii="宋体" w:eastAsia="宋体" w:hAnsi="宋体"/>
          <w:color w:val="000000"/>
          <w:sz w:val="24"/>
          <w:szCs w:val="24"/>
        </w:rPr>
      </w:pPr>
      <w:r w:rsidRPr="00F70C19">
        <w:rPr>
          <w:rFonts w:ascii="宋体" w:eastAsia="宋体" w:hAnsi="宋体" w:hint="eastAsia"/>
          <w:color w:val="000000"/>
          <w:sz w:val="24"/>
          <w:szCs w:val="24"/>
        </w:rPr>
        <w:t>规划目标指标表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592"/>
        <w:gridCol w:w="2607"/>
        <w:gridCol w:w="1422"/>
        <w:gridCol w:w="1304"/>
        <w:gridCol w:w="850"/>
        <w:gridCol w:w="929"/>
      </w:tblGrid>
      <w:tr w:rsidR="00177EED" w:rsidTr="00177EED">
        <w:trPr>
          <w:trHeight w:val="270"/>
          <w:tblHeader/>
          <w:jc w:val="center"/>
        </w:trPr>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领域</w:t>
            </w: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序号</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指标</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201</w:t>
            </w:r>
            <w:r w:rsidRPr="00260982">
              <w:rPr>
                <w:rFonts w:ascii="宋体" w:hAnsi="宋体"/>
                <w:szCs w:val="21"/>
              </w:rPr>
              <w:t>5</w:t>
            </w:r>
            <w:r w:rsidRPr="00260982">
              <w:rPr>
                <w:rFonts w:ascii="宋体" w:hAnsi="宋体" w:hint="eastAsia"/>
                <w:szCs w:val="21"/>
              </w:rPr>
              <w:t>年现状</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2020年</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2030年</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类型</w:t>
            </w:r>
          </w:p>
        </w:tc>
      </w:tr>
      <w:tr w:rsidR="00177EED" w:rsidRPr="00D13AAD" w:rsidTr="00177EED">
        <w:trPr>
          <w:trHeight w:val="392"/>
          <w:jc w:val="center"/>
        </w:trPr>
        <w:tc>
          <w:tcPr>
            <w:tcW w:w="357" w:type="pct"/>
            <w:vMerge w:val="restar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生态安全格局</w:t>
            </w: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1</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生态保护红线面积比例</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w:t>
            </w:r>
            <w:r w:rsidRPr="00260982">
              <w:rPr>
                <w:rFonts w:ascii="宋体" w:hAnsi="宋体"/>
                <w:szCs w:val="21"/>
              </w:rPr>
              <w:t>5.4</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w:t>
            </w:r>
            <w:r w:rsidRPr="00260982">
              <w:rPr>
                <w:rFonts w:ascii="宋体" w:hAnsi="宋体"/>
                <w:szCs w:val="21"/>
              </w:rPr>
              <w:t>5.4</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约束性</w:t>
            </w:r>
          </w:p>
        </w:tc>
      </w:tr>
      <w:tr w:rsidR="00177EED" w:rsidRPr="00D13AAD" w:rsidTr="00177EED">
        <w:trPr>
          <w:trHeight w:val="392"/>
          <w:jc w:val="center"/>
        </w:trPr>
        <w:tc>
          <w:tcPr>
            <w:tcW w:w="357" w:type="pct"/>
            <w:vMerge/>
            <w:shd w:val="clear" w:color="auto" w:fill="auto"/>
            <w:vAlign w:val="center"/>
          </w:tcPr>
          <w:p w:rsidR="00177EED" w:rsidRPr="00260982" w:rsidRDefault="00177EED" w:rsidP="00CE3107">
            <w:pPr>
              <w:jc w:val="center"/>
              <w:rPr>
                <w:rFonts w:ascii="宋体" w:hAnsi="宋体"/>
                <w:szCs w:val="21"/>
              </w:rPr>
            </w:pP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2</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耕地红线</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≥4900平方公里</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≥4900平方公里</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约束性</w:t>
            </w:r>
          </w:p>
        </w:tc>
      </w:tr>
      <w:tr w:rsidR="00177EED" w:rsidRPr="00D13AAD" w:rsidTr="00177EED">
        <w:trPr>
          <w:trHeight w:val="392"/>
          <w:jc w:val="center"/>
        </w:trPr>
        <w:tc>
          <w:tcPr>
            <w:tcW w:w="357" w:type="pct"/>
            <w:vMerge/>
            <w:shd w:val="clear" w:color="auto" w:fill="auto"/>
            <w:vAlign w:val="center"/>
          </w:tcPr>
          <w:p w:rsidR="00177EED" w:rsidRPr="00260982" w:rsidRDefault="00177EED" w:rsidP="00CE3107">
            <w:pPr>
              <w:jc w:val="center"/>
              <w:rPr>
                <w:rFonts w:ascii="宋体" w:hAnsi="宋体"/>
                <w:szCs w:val="21"/>
              </w:rPr>
            </w:pP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3</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生态保护控制区</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≥8.99</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≥8.99</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约束性</w:t>
            </w:r>
          </w:p>
        </w:tc>
      </w:tr>
      <w:tr w:rsidR="00177EED" w:rsidRPr="00D13AAD" w:rsidTr="00177EED">
        <w:trPr>
          <w:trHeight w:val="249"/>
          <w:jc w:val="center"/>
        </w:trPr>
        <w:tc>
          <w:tcPr>
            <w:tcW w:w="357" w:type="pct"/>
            <w:vMerge/>
            <w:shd w:val="clear" w:color="auto" w:fill="auto"/>
            <w:vAlign w:val="center"/>
          </w:tcPr>
          <w:p w:rsidR="00177EED" w:rsidRPr="00260982" w:rsidRDefault="00177EED" w:rsidP="00CE3107">
            <w:pPr>
              <w:jc w:val="center"/>
              <w:rPr>
                <w:rFonts w:ascii="宋体" w:hAnsi="宋体"/>
                <w:szCs w:val="21"/>
              </w:rPr>
            </w:pP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4</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森林覆盖率</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29.2</w:t>
            </w:r>
            <w:r w:rsidRPr="00260982">
              <w:rPr>
                <w:rFonts w:ascii="宋体" w:hAnsi="宋体" w:hint="eastAsia"/>
                <w:szCs w:val="21"/>
              </w:rPr>
              <w:t>%（全市）</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w:t>
            </w:r>
            <w:r w:rsidRPr="00260982">
              <w:rPr>
                <w:rFonts w:ascii="宋体" w:hAnsi="宋体"/>
                <w:szCs w:val="21"/>
              </w:rPr>
              <w:t>30</w:t>
            </w:r>
            <w:r w:rsidRPr="00260982">
              <w:rPr>
                <w:rFonts w:ascii="宋体" w:hAnsi="宋体" w:hint="eastAsia"/>
                <w:szCs w:val="21"/>
              </w:rPr>
              <w:t>%</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≥35%</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约束性</w:t>
            </w:r>
          </w:p>
        </w:tc>
      </w:tr>
      <w:tr w:rsidR="00177EED" w:rsidRPr="00D13AAD" w:rsidTr="00177EED">
        <w:trPr>
          <w:trHeight w:val="196"/>
          <w:jc w:val="center"/>
        </w:trPr>
        <w:tc>
          <w:tcPr>
            <w:tcW w:w="357" w:type="pct"/>
            <w:vMerge/>
            <w:shd w:val="clear" w:color="auto" w:fill="auto"/>
            <w:vAlign w:val="center"/>
          </w:tcPr>
          <w:p w:rsidR="00177EED" w:rsidRPr="00260982" w:rsidRDefault="00177EED" w:rsidP="00CE3107">
            <w:pPr>
              <w:jc w:val="center"/>
              <w:rPr>
                <w:rFonts w:ascii="宋体" w:hAnsi="宋体"/>
                <w:szCs w:val="21"/>
              </w:rPr>
            </w:pP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5</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建成区绿化覆盖率</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≥35%</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≥40%</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约束性</w:t>
            </w:r>
          </w:p>
        </w:tc>
      </w:tr>
      <w:tr w:rsidR="00177EED" w:rsidRPr="00D13AAD" w:rsidTr="00177EED">
        <w:trPr>
          <w:trHeight w:val="196"/>
          <w:jc w:val="center"/>
        </w:trPr>
        <w:tc>
          <w:tcPr>
            <w:tcW w:w="357" w:type="pct"/>
            <w:vMerge w:val="restar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环境</w:t>
            </w:r>
            <w:r w:rsidRPr="00260982">
              <w:rPr>
                <w:rFonts w:ascii="宋体" w:hAnsi="宋体" w:hint="eastAsia"/>
                <w:szCs w:val="21"/>
              </w:rPr>
              <w:lastRenderedPageBreak/>
              <w:t>质量</w:t>
            </w: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lastRenderedPageBreak/>
              <w:t>6</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环境空气质量优良率</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33%</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46.5</w:t>
            </w:r>
            <w:r w:rsidRPr="00260982">
              <w:rPr>
                <w:rFonts w:ascii="宋体" w:hAnsi="宋体" w:hint="eastAsia"/>
                <w:szCs w:val="21"/>
              </w:rPr>
              <w:t>%（城区）</w:t>
            </w:r>
          </w:p>
          <w:p w:rsidR="00177EED" w:rsidRPr="00260982" w:rsidRDefault="00177EED" w:rsidP="00CE3107">
            <w:pPr>
              <w:jc w:val="center"/>
              <w:rPr>
                <w:rFonts w:ascii="宋体" w:hAnsi="宋体"/>
                <w:szCs w:val="21"/>
              </w:rPr>
            </w:pPr>
            <w:r w:rsidRPr="00260982">
              <w:rPr>
                <w:rFonts w:ascii="宋体" w:hAnsi="宋体" w:hint="eastAsia"/>
                <w:szCs w:val="21"/>
              </w:rPr>
              <w:lastRenderedPageBreak/>
              <w:t>45%（县城）</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lastRenderedPageBreak/>
              <w:t>≥</w:t>
            </w:r>
            <w:r w:rsidRPr="00260982">
              <w:rPr>
                <w:rFonts w:ascii="宋体" w:hAnsi="宋体"/>
                <w:szCs w:val="21"/>
              </w:rPr>
              <w:t>85%</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约束性</w:t>
            </w:r>
          </w:p>
        </w:tc>
      </w:tr>
      <w:tr w:rsidR="00177EED" w:rsidRPr="00D13AAD" w:rsidTr="00177EED">
        <w:trPr>
          <w:trHeight w:val="351"/>
          <w:jc w:val="center"/>
        </w:trPr>
        <w:tc>
          <w:tcPr>
            <w:tcW w:w="357" w:type="pct"/>
            <w:vMerge/>
            <w:shd w:val="clear" w:color="auto" w:fill="auto"/>
            <w:vAlign w:val="center"/>
          </w:tcPr>
          <w:p w:rsidR="00177EED" w:rsidRPr="00260982" w:rsidRDefault="00177EED" w:rsidP="00CE3107">
            <w:pPr>
              <w:jc w:val="center"/>
              <w:rPr>
                <w:rFonts w:ascii="宋体" w:hAnsi="宋体"/>
                <w:szCs w:val="21"/>
              </w:rPr>
            </w:pP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7</w:t>
            </w:r>
          </w:p>
        </w:tc>
        <w:tc>
          <w:tcPr>
            <w:tcW w:w="1571" w:type="pct"/>
            <w:shd w:val="clear" w:color="auto" w:fill="auto"/>
          </w:tcPr>
          <w:p w:rsidR="00177EED" w:rsidRPr="00260982" w:rsidRDefault="00177EED" w:rsidP="00CE3107">
            <w:pPr>
              <w:jc w:val="center"/>
              <w:rPr>
                <w:rFonts w:ascii="宋体" w:hAnsi="宋体"/>
              </w:rPr>
            </w:pPr>
            <w:r w:rsidRPr="00260982">
              <w:rPr>
                <w:rFonts w:ascii="宋体" w:hAnsi="宋体" w:hint="eastAsia"/>
              </w:rPr>
              <w:t>PM</w:t>
            </w:r>
            <w:r w:rsidRPr="00260982">
              <w:rPr>
                <w:rFonts w:ascii="宋体" w:hAnsi="宋体" w:hint="eastAsia"/>
                <w:vertAlign w:val="subscript"/>
              </w:rPr>
              <w:t>2.5</w:t>
            </w:r>
            <w:r w:rsidRPr="00260982">
              <w:rPr>
                <w:rFonts w:ascii="宋体" w:hAnsi="宋体" w:hint="eastAsia"/>
              </w:rPr>
              <w:t>年均浓度（ug/m</w:t>
            </w:r>
            <w:r w:rsidRPr="00260982">
              <w:rPr>
                <w:rFonts w:ascii="宋体" w:hAnsi="宋体" w:hint="eastAsia"/>
                <w:vertAlign w:val="superscript"/>
              </w:rPr>
              <w:t>3</w:t>
            </w:r>
            <w:r w:rsidRPr="00260982">
              <w:rPr>
                <w:rFonts w:ascii="宋体" w:hAnsi="宋体" w:hint="eastAsia"/>
              </w:rPr>
              <w:t>）</w:t>
            </w:r>
          </w:p>
        </w:tc>
        <w:tc>
          <w:tcPr>
            <w:tcW w:w="857" w:type="pct"/>
            <w:shd w:val="clear" w:color="auto" w:fill="auto"/>
          </w:tcPr>
          <w:p w:rsidR="00177EED" w:rsidRPr="00260982" w:rsidRDefault="00177EED" w:rsidP="00CE3107">
            <w:pPr>
              <w:jc w:val="center"/>
              <w:rPr>
                <w:rFonts w:ascii="宋体" w:hAnsi="宋体"/>
              </w:rPr>
            </w:pPr>
            <w:r w:rsidRPr="00260982">
              <w:rPr>
                <w:rFonts w:ascii="宋体" w:hAnsi="宋体" w:hint="eastAsia"/>
              </w:rPr>
              <w:t>99</w:t>
            </w:r>
          </w:p>
        </w:tc>
        <w:tc>
          <w:tcPr>
            <w:tcW w:w="786" w:type="pct"/>
            <w:shd w:val="clear" w:color="auto" w:fill="auto"/>
          </w:tcPr>
          <w:p w:rsidR="00177EED" w:rsidRPr="00260982" w:rsidRDefault="00177EED" w:rsidP="00CE3107">
            <w:pPr>
              <w:jc w:val="center"/>
              <w:rPr>
                <w:rFonts w:ascii="宋体" w:hAnsi="宋体"/>
              </w:rPr>
            </w:pPr>
            <w:r w:rsidRPr="00260982">
              <w:rPr>
                <w:rFonts w:ascii="宋体" w:hAnsi="宋体" w:hint="eastAsia"/>
              </w:rPr>
              <w:t>≤65</w:t>
            </w:r>
          </w:p>
        </w:tc>
        <w:tc>
          <w:tcPr>
            <w:tcW w:w="512" w:type="pct"/>
            <w:shd w:val="clear" w:color="auto" w:fill="auto"/>
          </w:tcPr>
          <w:p w:rsidR="00177EED" w:rsidRPr="00260982" w:rsidRDefault="00177EED" w:rsidP="00CE3107">
            <w:pPr>
              <w:jc w:val="center"/>
              <w:rPr>
                <w:rFonts w:ascii="宋体" w:hAnsi="宋体"/>
              </w:rPr>
            </w:pPr>
            <w:r w:rsidRPr="00260982">
              <w:rPr>
                <w:rFonts w:ascii="宋体" w:hAnsi="宋体" w:hint="eastAsia"/>
              </w:rPr>
              <w:t>≤35</w:t>
            </w:r>
          </w:p>
        </w:tc>
        <w:tc>
          <w:tcPr>
            <w:tcW w:w="561" w:type="pct"/>
            <w:shd w:val="clear" w:color="auto" w:fill="auto"/>
          </w:tcPr>
          <w:p w:rsidR="00177EED" w:rsidRPr="00260982" w:rsidRDefault="00177EED" w:rsidP="00CE3107">
            <w:pPr>
              <w:jc w:val="center"/>
              <w:rPr>
                <w:rFonts w:ascii="宋体" w:hAnsi="宋体"/>
              </w:rPr>
            </w:pPr>
            <w:r w:rsidRPr="00260982">
              <w:rPr>
                <w:rFonts w:ascii="宋体" w:hAnsi="宋体" w:hint="eastAsia"/>
              </w:rPr>
              <w:t>约束性</w:t>
            </w:r>
          </w:p>
        </w:tc>
      </w:tr>
      <w:tr w:rsidR="00177EED" w:rsidRPr="00D13AAD" w:rsidTr="00177EED">
        <w:trPr>
          <w:trHeight w:val="206"/>
          <w:jc w:val="center"/>
        </w:trPr>
        <w:tc>
          <w:tcPr>
            <w:tcW w:w="357" w:type="pct"/>
            <w:vMerge/>
            <w:shd w:val="clear" w:color="auto" w:fill="auto"/>
            <w:vAlign w:val="center"/>
          </w:tcPr>
          <w:p w:rsidR="00177EED" w:rsidRPr="00260982" w:rsidRDefault="00177EED" w:rsidP="00CE3107">
            <w:pPr>
              <w:jc w:val="center"/>
              <w:rPr>
                <w:rFonts w:ascii="宋体" w:hAnsi="宋体"/>
                <w:szCs w:val="21"/>
              </w:rPr>
            </w:pP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8</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空气重度及</w:t>
            </w:r>
            <w:r w:rsidRPr="00260982">
              <w:rPr>
                <w:rFonts w:ascii="宋体" w:hAnsi="宋体"/>
                <w:szCs w:val="21"/>
              </w:rPr>
              <w:t>以上污染天数</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57</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35</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10</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参考性</w:t>
            </w:r>
          </w:p>
        </w:tc>
      </w:tr>
      <w:tr w:rsidR="00177EED" w:rsidRPr="00D13AAD" w:rsidTr="00177EED">
        <w:trPr>
          <w:trHeight w:val="402"/>
          <w:jc w:val="center"/>
        </w:trPr>
        <w:tc>
          <w:tcPr>
            <w:tcW w:w="357" w:type="pct"/>
            <w:vMerge/>
            <w:shd w:val="clear" w:color="auto" w:fill="auto"/>
            <w:vAlign w:val="center"/>
          </w:tcPr>
          <w:p w:rsidR="00177EED" w:rsidRPr="00260982" w:rsidRDefault="00177EED" w:rsidP="00CE3107">
            <w:pPr>
              <w:jc w:val="center"/>
              <w:rPr>
                <w:rFonts w:ascii="宋体" w:hAnsi="宋体"/>
                <w:szCs w:val="21"/>
              </w:rPr>
            </w:pP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9</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集中式饮用水水源地水质达标率</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100%</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100%</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100%</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约束性</w:t>
            </w:r>
          </w:p>
        </w:tc>
      </w:tr>
      <w:tr w:rsidR="00177EED" w:rsidTr="00177EED">
        <w:trPr>
          <w:trHeight w:val="270"/>
          <w:jc w:val="center"/>
        </w:trPr>
        <w:tc>
          <w:tcPr>
            <w:tcW w:w="357" w:type="pct"/>
            <w:vMerge/>
            <w:shd w:val="clear" w:color="auto" w:fill="auto"/>
            <w:vAlign w:val="center"/>
          </w:tcPr>
          <w:p w:rsidR="00177EED" w:rsidRPr="00260982" w:rsidRDefault="00177EED" w:rsidP="00CE3107">
            <w:pPr>
              <w:jc w:val="center"/>
              <w:rPr>
                <w:rFonts w:ascii="宋体" w:hAnsi="宋体"/>
                <w:szCs w:val="21"/>
              </w:rPr>
            </w:pP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10</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功能水体</w:t>
            </w:r>
            <w:r w:rsidRPr="00260982">
              <w:rPr>
                <w:rFonts w:ascii="宋体" w:hAnsi="宋体"/>
                <w:szCs w:val="21"/>
              </w:rPr>
              <w:t>达标率</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20%</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75</w:t>
            </w:r>
            <w:r w:rsidRPr="00260982">
              <w:rPr>
                <w:rFonts w:ascii="宋体" w:hAnsi="宋体"/>
                <w:szCs w:val="21"/>
              </w:rPr>
              <w:t>%</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100%</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约束性</w:t>
            </w:r>
          </w:p>
        </w:tc>
      </w:tr>
      <w:tr w:rsidR="00177EED" w:rsidTr="00177EED">
        <w:trPr>
          <w:trHeight w:val="102"/>
          <w:jc w:val="center"/>
        </w:trPr>
        <w:tc>
          <w:tcPr>
            <w:tcW w:w="357" w:type="pct"/>
            <w:vMerge/>
            <w:shd w:val="clear" w:color="auto" w:fill="auto"/>
            <w:vAlign w:val="center"/>
          </w:tcPr>
          <w:p w:rsidR="00177EED" w:rsidRPr="00260982" w:rsidRDefault="00177EED" w:rsidP="00CE3107">
            <w:pPr>
              <w:jc w:val="center"/>
              <w:rPr>
                <w:rFonts w:ascii="宋体" w:hAnsi="宋体"/>
                <w:szCs w:val="21"/>
              </w:rPr>
            </w:pP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11</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地表水</w:t>
            </w:r>
            <w:r w:rsidRPr="00260982">
              <w:rPr>
                <w:rFonts w:ascii="宋体" w:hAnsi="宋体"/>
                <w:szCs w:val="21"/>
              </w:rPr>
              <w:t>质量劣</w:t>
            </w:r>
            <w:r w:rsidRPr="00260982">
              <w:rPr>
                <w:rFonts w:ascii="宋体" w:hAnsi="宋体" w:hint="eastAsia"/>
                <w:szCs w:val="21"/>
              </w:rPr>
              <w:t>Ⅴ类</w:t>
            </w:r>
            <w:r w:rsidRPr="00260982">
              <w:rPr>
                <w:rFonts w:ascii="宋体" w:hAnsi="宋体"/>
                <w:szCs w:val="21"/>
              </w:rPr>
              <w:t>水体比例</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w:t>
            </w:r>
            <w:r w:rsidRPr="00260982">
              <w:rPr>
                <w:rFonts w:ascii="宋体" w:hAnsi="宋体"/>
                <w:szCs w:val="21"/>
              </w:rPr>
              <w:t>29%；</w:t>
            </w:r>
          </w:p>
          <w:p w:rsidR="00177EED" w:rsidRPr="00260982" w:rsidRDefault="00177EED" w:rsidP="00CE3107">
            <w:pPr>
              <w:jc w:val="center"/>
              <w:rPr>
                <w:rFonts w:ascii="宋体" w:hAnsi="宋体"/>
                <w:szCs w:val="21"/>
              </w:rPr>
            </w:pPr>
            <w:r w:rsidRPr="00260982">
              <w:rPr>
                <w:rFonts w:ascii="宋体" w:hAnsi="宋体"/>
                <w:szCs w:val="21"/>
              </w:rPr>
              <w:t>（建成区</w:t>
            </w:r>
            <w:r w:rsidRPr="00260982">
              <w:rPr>
                <w:rFonts w:ascii="宋体" w:hAnsi="宋体" w:hint="eastAsia"/>
                <w:szCs w:val="21"/>
              </w:rPr>
              <w:t>≤1</w:t>
            </w:r>
            <w:r w:rsidRPr="00260982">
              <w:rPr>
                <w:rFonts w:ascii="宋体" w:hAnsi="宋体"/>
                <w:szCs w:val="21"/>
              </w:rPr>
              <w:t>0%）</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0</w:t>
            </w:r>
            <w:r w:rsidRPr="00260982">
              <w:rPr>
                <w:rFonts w:ascii="宋体" w:hAnsi="宋体"/>
                <w:szCs w:val="21"/>
              </w:rPr>
              <w:t>%</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约束性</w:t>
            </w:r>
          </w:p>
        </w:tc>
      </w:tr>
      <w:tr w:rsidR="00177EED" w:rsidTr="00177EED">
        <w:trPr>
          <w:trHeight w:val="402"/>
          <w:jc w:val="center"/>
        </w:trPr>
        <w:tc>
          <w:tcPr>
            <w:tcW w:w="357" w:type="pct"/>
            <w:vMerge/>
            <w:shd w:val="clear" w:color="auto" w:fill="auto"/>
            <w:vAlign w:val="center"/>
          </w:tcPr>
          <w:p w:rsidR="00177EED" w:rsidRPr="00260982" w:rsidRDefault="00177EED" w:rsidP="00CE3107">
            <w:pPr>
              <w:jc w:val="center"/>
              <w:rPr>
                <w:rFonts w:ascii="宋体" w:hAnsi="宋体"/>
                <w:szCs w:val="21"/>
              </w:rPr>
            </w:pP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12</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区域环境噪声平均值（dB(A)）</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54.5</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≤60</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≤60</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约束性</w:t>
            </w:r>
          </w:p>
        </w:tc>
      </w:tr>
      <w:tr w:rsidR="00177EED" w:rsidTr="00177EED">
        <w:trPr>
          <w:trHeight w:val="402"/>
          <w:jc w:val="center"/>
        </w:trPr>
        <w:tc>
          <w:tcPr>
            <w:tcW w:w="357" w:type="pct"/>
            <w:vMerge/>
            <w:shd w:val="clear" w:color="auto" w:fill="auto"/>
            <w:vAlign w:val="center"/>
          </w:tcPr>
          <w:p w:rsidR="00177EED" w:rsidRPr="00260982" w:rsidRDefault="00177EED" w:rsidP="00CE3107">
            <w:pPr>
              <w:jc w:val="center"/>
              <w:rPr>
                <w:rFonts w:ascii="宋体" w:hAnsi="宋体"/>
                <w:szCs w:val="21"/>
              </w:rPr>
            </w:pP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13</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交通干线噪声平均值（dB(A)）</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64.5</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≤70</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≤70</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约束性</w:t>
            </w:r>
          </w:p>
        </w:tc>
      </w:tr>
      <w:tr w:rsidR="00177EED" w:rsidTr="00177EED">
        <w:trPr>
          <w:trHeight w:val="286"/>
          <w:jc w:val="center"/>
        </w:trPr>
        <w:tc>
          <w:tcPr>
            <w:tcW w:w="357" w:type="pct"/>
            <w:vMerge/>
            <w:shd w:val="clear" w:color="auto" w:fill="auto"/>
            <w:vAlign w:val="center"/>
          </w:tcPr>
          <w:p w:rsidR="00177EED" w:rsidRPr="00260982" w:rsidRDefault="00177EED" w:rsidP="00CE3107">
            <w:pPr>
              <w:jc w:val="center"/>
              <w:rPr>
                <w:rFonts w:ascii="宋体" w:hAnsi="宋体"/>
                <w:szCs w:val="21"/>
              </w:rPr>
            </w:pP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14</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受污染耕地安全利用率</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≥9</w:t>
            </w:r>
            <w:r w:rsidRPr="00260982">
              <w:rPr>
                <w:rFonts w:ascii="宋体" w:hAnsi="宋体"/>
                <w:szCs w:val="21"/>
              </w:rPr>
              <w:t>6.4</w:t>
            </w:r>
            <w:r w:rsidRPr="00260982">
              <w:rPr>
                <w:rFonts w:ascii="宋体" w:hAnsi="宋体" w:hint="eastAsia"/>
                <w:szCs w:val="21"/>
              </w:rPr>
              <w:t>%</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≥9</w:t>
            </w:r>
            <w:r w:rsidRPr="00260982">
              <w:rPr>
                <w:rFonts w:ascii="宋体" w:hAnsi="宋体"/>
                <w:szCs w:val="21"/>
              </w:rPr>
              <w:t>6.4</w:t>
            </w:r>
            <w:r w:rsidRPr="00260982">
              <w:rPr>
                <w:rFonts w:ascii="宋体" w:hAnsi="宋体" w:hint="eastAsia"/>
                <w:szCs w:val="21"/>
              </w:rPr>
              <w:t>%</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约束性</w:t>
            </w:r>
          </w:p>
        </w:tc>
      </w:tr>
      <w:tr w:rsidR="00177EED" w:rsidTr="00177EED">
        <w:trPr>
          <w:trHeight w:val="87"/>
          <w:jc w:val="center"/>
        </w:trPr>
        <w:tc>
          <w:tcPr>
            <w:tcW w:w="357" w:type="pct"/>
            <w:vMerge/>
            <w:shd w:val="clear" w:color="auto" w:fill="auto"/>
            <w:vAlign w:val="center"/>
          </w:tcPr>
          <w:p w:rsidR="00177EED" w:rsidRPr="00260982" w:rsidRDefault="00177EED" w:rsidP="00CE3107">
            <w:pPr>
              <w:jc w:val="center"/>
              <w:rPr>
                <w:rFonts w:ascii="宋体" w:hAnsi="宋体"/>
                <w:szCs w:val="21"/>
              </w:rPr>
            </w:pP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15</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污染</w:t>
            </w:r>
            <w:r w:rsidRPr="00260982">
              <w:rPr>
                <w:rFonts w:ascii="宋体" w:hAnsi="宋体"/>
                <w:szCs w:val="21"/>
              </w:rPr>
              <w:t>地块</w:t>
            </w:r>
            <w:r w:rsidRPr="00260982">
              <w:rPr>
                <w:rFonts w:ascii="宋体" w:hAnsi="宋体" w:hint="eastAsia"/>
                <w:szCs w:val="21"/>
              </w:rPr>
              <w:t>安全</w:t>
            </w:r>
            <w:r w:rsidRPr="00260982">
              <w:rPr>
                <w:rFonts w:ascii="宋体" w:hAnsi="宋体"/>
                <w:szCs w:val="21"/>
              </w:rPr>
              <w:t>利用率</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≥90</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≥95%</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约束性</w:t>
            </w:r>
          </w:p>
        </w:tc>
      </w:tr>
      <w:tr w:rsidR="00177EED" w:rsidTr="00177EED">
        <w:trPr>
          <w:trHeight w:val="196"/>
          <w:jc w:val="center"/>
        </w:trPr>
        <w:tc>
          <w:tcPr>
            <w:tcW w:w="357" w:type="pct"/>
            <w:vMerge/>
            <w:shd w:val="clear" w:color="auto" w:fill="auto"/>
            <w:vAlign w:val="center"/>
          </w:tcPr>
          <w:p w:rsidR="00177EED" w:rsidRPr="00260982" w:rsidRDefault="00177EED" w:rsidP="00CE3107">
            <w:pPr>
              <w:jc w:val="center"/>
              <w:rPr>
                <w:rFonts w:ascii="宋体" w:hAnsi="宋体"/>
                <w:szCs w:val="21"/>
              </w:rPr>
            </w:pP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16</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生态环境状况指数</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36</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≥36</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≥55</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约束性</w:t>
            </w:r>
          </w:p>
        </w:tc>
      </w:tr>
      <w:tr w:rsidR="00177EED" w:rsidTr="00177EED">
        <w:trPr>
          <w:trHeight w:val="196"/>
          <w:jc w:val="center"/>
        </w:trPr>
        <w:tc>
          <w:tcPr>
            <w:tcW w:w="357" w:type="pct"/>
            <w:vMerge w:val="restar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污染控制</w:t>
            </w: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17</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COD排放总量削减率</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22.6</w:t>
            </w:r>
            <w:r w:rsidRPr="00260982">
              <w:rPr>
                <w:rFonts w:ascii="宋体" w:hAnsi="宋体" w:hint="eastAsia"/>
                <w:szCs w:val="21"/>
              </w:rPr>
              <w:t>%</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30%</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约束性</w:t>
            </w:r>
          </w:p>
        </w:tc>
      </w:tr>
      <w:tr w:rsidR="00177EED" w:rsidTr="00177EED">
        <w:trPr>
          <w:trHeight w:val="206"/>
          <w:jc w:val="center"/>
        </w:trPr>
        <w:tc>
          <w:tcPr>
            <w:tcW w:w="357" w:type="pct"/>
            <w:vMerge/>
            <w:shd w:val="clear" w:color="auto" w:fill="auto"/>
            <w:vAlign w:val="center"/>
          </w:tcPr>
          <w:p w:rsidR="00177EED" w:rsidRPr="00260982" w:rsidRDefault="00177EED" w:rsidP="00CE3107">
            <w:pPr>
              <w:jc w:val="center"/>
              <w:rPr>
                <w:rFonts w:ascii="宋体" w:hAnsi="宋体"/>
                <w:szCs w:val="21"/>
              </w:rPr>
            </w:pP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18</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氨氮排放总量削减率</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20%</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40%</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约束性</w:t>
            </w:r>
          </w:p>
        </w:tc>
      </w:tr>
      <w:tr w:rsidR="00177EED" w:rsidTr="00177EED">
        <w:trPr>
          <w:trHeight w:val="206"/>
          <w:jc w:val="center"/>
        </w:trPr>
        <w:tc>
          <w:tcPr>
            <w:tcW w:w="357" w:type="pct"/>
            <w:vMerge/>
            <w:shd w:val="clear" w:color="auto" w:fill="auto"/>
            <w:vAlign w:val="center"/>
          </w:tcPr>
          <w:p w:rsidR="00177EED" w:rsidRPr="00260982" w:rsidRDefault="00177EED" w:rsidP="00CE3107">
            <w:pPr>
              <w:jc w:val="center"/>
              <w:rPr>
                <w:rFonts w:ascii="宋体" w:hAnsi="宋体"/>
                <w:szCs w:val="21"/>
              </w:rPr>
            </w:pP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19</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SO</w:t>
            </w:r>
            <w:r w:rsidRPr="00260982">
              <w:rPr>
                <w:rFonts w:ascii="宋体" w:hAnsi="宋体" w:hint="eastAsia"/>
                <w:szCs w:val="21"/>
                <w:vertAlign w:val="subscript"/>
              </w:rPr>
              <w:t>2</w:t>
            </w:r>
            <w:r w:rsidRPr="00260982">
              <w:rPr>
                <w:rFonts w:ascii="宋体" w:hAnsi="宋体" w:hint="eastAsia"/>
                <w:szCs w:val="21"/>
              </w:rPr>
              <w:t>排放总量削减率</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33</w:t>
            </w:r>
            <w:r w:rsidRPr="00260982">
              <w:rPr>
                <w:rFonts w:ascii="宋体" w:hAnsi="宋体" w:hint="eastAsia"/>
                <w:szCs w:val="21"/>
              </w:rPr>
              <w:t>%</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50%</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约束性</w:t>
            </w:r>
          </w:p>
        </w:tc>
      </w:tr>
      <w:tr w:rsidR="00177EED" w:rsidTr="00177EED">
        <w:trPr>
          <w:trHeight w:val="196"/>
          <w:jc w:val="center"/>
        </w:trPr>
        <w:tc>
          <w:tcPr>
            <w:tcW w:w="357" w:type="pct"/>
            <w:vMerge/>
            <w:shd w:val="clear" w:color="auto" w:fill="auto"/>
            <w:vAlign w:val="center"/>
          </w:tcPr>
          <w:p w:rsidR="00177EED" w:rsidRPr="00260982" w:rsidRDefault="00177EED" w:rsidP="00CE3107">
            <w:pPr>
              <w:jc w:val="center"/>
              <w:rPr>
                <w:rFonts w:ascii="宋体" w:hAnsi="宋体"/>
                <w:szCs w:val="21"/>
              </w:rPr>
            </w:pP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20</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NOx排放总量削减率</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33</w:t>
            </w:r>
            <w:r w:rsidRPr="00260982">
              <w:rPr>
                <w:rFonts w:ascii="宋体" w:hAnsi="宋体" w:hint="eastAsia"/>
                <w:szCs w:val="21"/>
              </w:rPr>
              <w:t>%</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40%</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约束性</w:t>
            </w:r>
          </w:p>
        </w:tc>
      </w:tr>
      <w:tr w:rsidR="00177EED" w:rsidTr="00177EED">
        <w:trPr>
          <w:trHeight w:val="402"/>
          <w:jc w:val="center"/>
        </w:trPr>
        <w:tc>
          <w:tcPr>
            <w:tcW w:w="357" w:type="pct"/>
            <w:vMerge/>
            <w:shd w:val="clear" w:color="auto" w:fill="auto"/>
            <w:vAlign w:val="center"/>
          </w:tcPr>
          <w:p w:rsidR="00177EED" w:rsidRPr="00260982" w:rsidRDefault="00177EED" w:rsidP="00CE3107">
            <w:pPr>
              <w:jc w:val="center"/>
              <w:rPr>
                <w:rFonts w:ascii="宋体" w:hAnsi="宋体"/>
                <w:szCs w:val="21"/>
              </w:rPr>
            </w:pP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21</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挥发性有机物排放总量削减率</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2</w:t>
            </w:r>
            <w:r w:rsidRPr="00260982">
              <w:rPr>
                <w:rFonts w:ascii="宋体" w:hAnsi="宋体"/>
                <w:szCs w:val="21"/>
              </w:rPr>
              <w:t>0</w:t>
            </w:r>
            <w:r w:rsidRPr="00260982">
              <w:rPr>
                <w:rFonts w:ascii="宋体" w:hAnsi="宋体" w:hint="eastAsia"/>
                <w:szCs w:val="21"/>
              </w:rPr>
              <w:t>%</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50%</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约束性</w:t>
            </w:r>
          </w:p>
        </w:tc>
      </w:tr>
      <w:tr w:rsidR="00177EED" w:rsidRPr="00D13AAD" w:rsidTr="00177EED">
        <w:trPr>
          <w:trHeight w:val="196"/>
          <w:jc w:val="center"/>
        </w:trPr>
        <w:tc>
          <w:tcPr>
            <w:tcW w:w="357" w:type="pct"/>
            <w:vMerge w:val="restar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资源利用</w:t>
            </w: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22</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清洁能源使用率</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w:t>
            </w:r>
            <w:r w:rsidRPr="00260982">
              <w:rPr>
                <w:rFonts w:ascii="宋体" w:hAnsi="宋体"/>
                <w:szCs w:val="21"/>
              </w:rPr>
              <w:t>25</w:t>
            </w:r>
            <w:r w:rsidRPr="00260982">
              <w:rPr>
                <w:rFonts w:ascii="宋体" w:hAnsi="宋体" w:hint="eastAsia"/>
                <w:szCs w:val="21"/>
              </w:rPr>
              <w:t>%</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≥50%</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参考性</w:t>
            </w:r>
          </w:p>
        </w:tc>
      </w:tr>
      <w:tr w:rsidR="00177EED" w:rsidTr="00177EED">
        <w:trPr>
          <w:trHeight w:val="413"/>
          <w:jc w:val="center"/>
        </w:trPr>
        <w:tc>
          <w:tcPr>
            <w:tcW w:w="357" w:type="pct"/>
            <w:vMerge/>
            <w:shd w:val="clear" w:color="auto" w:fill="auto"/>
            <w:vAlign w:val="center"/>
          </w:tcPr>
          <w:p w:rsidR="00177EED" w:rsidRPr="00260982" w:rsidRDefault="00177EED" w:rsidP="00CE3107">
            <w:pPr>
              <w:jc w:val="center"/>
              <w:rPr>
                <w:rFonts w:ascii="宋体" w:hAnsi="宋体"/>
                <w:szCs w:val="21"/>
              </w:rPr>
            </w:pP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23</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单位GDP能耗</w:t>
            </w:r>
          </w:p>
          <w:p w:rsidR="00177EED" w:rsidRPr="00260982" w:rsidRDefault="00177EED" w:rsidP="00CE3107">
            <w:pPr>
              <w:jc w:val="center"/>
              <w:rPr>
                <w:rFonts w:ascii="宋体" w:hAnsi="宋体"/>
                <w:szCs w:val="21"/>
              </w:rPr>
            </w:pPr>
            <w:r w:rsidRPr="00260982">
              <w:rPr>
                <w:rFonts w:ascii="宋体" w:hAnsi="宋体" w:hint="eastAsia"/>
                <w:szCs w:val="21"/>
              </w:rPr>
              <w:t>（吨标准煤）</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0.788</w:t>
            </w:r>
          </w:p>
          <w:p w:rsidR="00177EED" w:rsidRPr="00260982" w:rsidRDefault="00177EED" w:rsidP="00CE3107">
            <w:pPr>
              <w:jc w:val="center"/>
              <w:rPr>
                <w:rFonts w:ascii="宋体" w:hAnsi="宋体"/>
                <w:szCs w:val="21"/>
              </w:rPr>
            </w:pPr>
            <w:r w:rsidRPr="00260982">
              <w:rPr>
                <w:rFonts w:ascii="宋体" w:hAnsi="宋体"/>
                <w:szCs w:val="21"/>
              </w:rPr>
              <w:t>(</w:t>
            </w:r>
            <w:r w:rsidRPr="00260982">
              <w:rPr>
                <w:rFonts w:ascii="宋体" w:hAnsi="宋体" w:hint="eastAsia"/>
                <w:szCs w:val="21"/>
              </w:rPr>
              <w:t>全市)</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≤0.7</w:t>
            </w:r>
            <w:r w:rsidRPr="00260982">
              <w:rPr>
                <w:rFonts w:ascii="宋体" w:hAnsi="宋体"/>
                <w:szCs w:val="21"/>
              </w:rPr>
              <w:t>0</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≤0.6</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约束性</w:t>
            </w:r>
          </w:p>
        </w:tc>
      </w:tr>
      <w:tr w:rsidR="00177EED" w:rsidTr="00177EED">
        <w:trPr>
          <w:trHeight w:val="196"/>
          <w:jc w:val="center"/>
        </w:trPr>
        <w:tc>
          <w:tcPr>
            <w:tcW w:w="357" w:type="pct"/>
            <w:vMerge/>
            <w:shd w:val="clear" w:color="auto" w:fill="auto"/>
            <w:vAlign w:val="center"/>
          </w:tcPr>
          <w:p w:rsidR="00177EED" w:rsidRPr="00260982" w:rsidRDefault="00177EED" w:rsidP="00CE3107">
            <w:pPr>
              <w:jc w:val="center"/>
              <w:rPr>
                <w:rFonts w:ascii="宋体" w:hAnsi="宋体"/>
                <w:szCs w:val="21"/>
              </w:rPr>
            </w:pP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24</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单位GDP用水量（m</w:t>
            </w:r>
            <w:r w:rsidRPr="00260982">
              <w:rPr>
                <w:rFonts w:ascii="宋体" w:hAnsi="宋体" w:hint="eastAsia"/>
                <w:szCs w:val="21"/>
                <w:vertAlign w:val="superscript"/>
              </w:rPr>
              <w:t>3</w:t>
            </w:r>
            <w:r w:rsidRPr="00260982">
              <w:rPr>
                <w:rFonts w:ascii="宋体" w:hAnsi="宋体" w:hint="eastAsia"/>
                <w:szCs w:val="21"/>
              </w:rPr>
              <w:t>）</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≤120</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≤70</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约束性</w:t>
            </w:r>
          </w:p>
        </w:tc>
      </w:tr>
      <w:tr w:rsidR="00177EED" w:rsidTr="00177EED">
        <w:trPr>
          <w:trHeight w:val="196"/>
          <w:jc w:val="center"/>
        </w:trPr>
        <w:tc>
          <w:tcPr>
            <w:tcW w:w="357" w:type="pct"/>
            <w:vMerge/>
            <w:shd w:val="clear" w:color="auto" w:fill="auto"/>
            <w:vAlign w:val="center"/>
          </w:tcPr>
          <w:p w:rsidR="00177EED" w:rsidRPr="00260982" w:rsidRDefault="00177EED" w:rsidP="00CE3107">
            <w:pPr>
              <w:jc w:val="center"/>
              <w:rPr>
                <w:rFonts w:ascii="宋体" w:hAnsi="宋体"/>
                <w:szCs w:val="21"/>
              </w:rPr>
            </w:pP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25</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工业用水重复利用率</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79%</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≥85%</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≥90%</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约束性</w:t>
            </w:r>
          </w:p>
        </w:tc>
      </w:tr>
      <w:tr w:rsidR="00177EED" w:rsidRPr="00D13AAD" w:rsidTr="00177EED">
        <w:trPr>
          <w:trHeight w:val="196"/>
          <w:jc w:val="center"/>
        </w:trPr>
        <w:tc>
          <w:tcPr>
            <w:tcW w:w="357" w:type="pct"/>
            <w:vMerge/>
            <w:shd w:val="clear" w:color="auto" w:fill="auto"/>
            <w:vAlign w:val="center"/>
          </w:tcPr>
          <w:p w:rsidR="00177EED" w:rsidRPr="00260982" w:rsidRDefault="00177EED" w:rsidP="00CE3107">
            <w:pPr>
              <w:jc w:val="center"/>
              <w:rPr>
                <w:rFonts w:ascii="宋体" w:hAnsi="宋体"/>
                <w:szCs w:val="21"/>
              </w:rPr>
            </w:pP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26</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节能节水器具普及率</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≥70</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参考性</w:t>
            </w:r>
          </w:p>
        </w:tc>
      </w:tr>
      <w:tr w:rsidR="00177EED" w:rsidRPr="00D13AAD" w:rsidTr="00177EED">
        <w:trPr>
          <w:trHeight w:val="196"/>
          <w:jc w:val="center"/>
        </w:trPr>
        <w:tc>
          <w:tcPr>
            <w:tcW w:w="357" w:type="pct"/>
            <w:vMerge/>
            <w:shd w:val="clear" w:color="auto" w:fill="auto"/>
            <w:vAlign w:val="center"/>
          </w:tcPr>
          <w:p w:rsidR="00177EED" w:rsidRPr="00260982" w:rsidRDefault="00177EED" w:rsidP="00CE3107">
            <w:pPr>
              <w:jc w:val="center"/>
              <w:rPr>
                <w:rFonts w:ascii="宋体" w:hAnsi="宋体"/>
                <w:szCs w:val="21"/>
              </w:rPr>
            </w:pP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27</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工业固废综合利用率</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≥50%</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≥60%</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参考性</w:t>
            </w:r>
          </w:p>
        </w:tc>
      </w:tr>
      <w:tr w:rsidR="00177EED" w:rsidRPr="00D13AAD" w:rsidTr="00177EED">
        <w:trPr>
          <w:trHeight w:val="196"/>
          <w:jc w:val="center"/>
        </w:trPr>
        <w:tc>
          <w:tcPr>
            <w:tcW w:w="357" w:type="pct"/>
            <w:vMerge/>
            <w:shd w:val="clear" w:color="auto" w:fill="auto"/>
            <w:vAlign w:val="center"/>
          </w:tcPr>
          <w:p w:rsidR="00177EED" w:rsidRPr="00260982" w:rsidRDefault="00177EED" w:rsidP="00CE3107">
            <w:pPr>
              <w:jc w:val="center"/>
              <w:rPr>
                <w:rFonts w:ascii="宋体" w:hAnsi="宋体"/>
                <w:szCs w:val="21"/>
              </w:rPr>
            </w:pP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28</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再生水利用率</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w:t>
            </w:r>
            <w:r w:rsidRPr="00260982">
              <w:rPr>
                <w:rFonts w:ascii="宋体" w:hAnsi="宋体"/>
                <w:szCs w:val="21"/>
              </w:rPr>
              <w:t>3</w:t>
            </w:r>
            <w:r w:rsidRPr="00260982">
              <w:rPr>
                <w:rFonts w:ascii="宋体" w:hAnsi="宋体" w:hint="eastAsia"/>
                <w:szCs w:val="21"/>
              </w:rPr>
              <w:t>0%</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≥40%</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约束性</w:t>
            </w:r>
          </w:p>
        </w:tc>
      </w:tr>
      <w:tr w:rsidR="00177EED" w:rsidRPr="00D13AAD" w:rsidTr="00177EED">
        <w:trPr>
          <w:trHeight w:val="196"/>
          <w:jc w:val="center"/>
        </w:trPr>
        <w:tc>
          <w:tcPr>
            <w:tcW w:w="357" w:type="pct"/>
            <w:vMerge w:val="restar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环境基本公共服务</w:t>
            </w: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29</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环境保护投资指数</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≥1.7%</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≥1.7%</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参考性</w:t>
            </w:r>
          </w:p>
        </w:tc>
      </w:tr>
      <w:tr w:rsidR="00177EED" w:rsidRPr="00D13AAD" w:rsidTr="00177EED">
        <w:trPr>
          <w:trHeight w:val="206"/>
          <w:jc w:val="center"/>
        </w:trPr>
        <w:tc>
          <w:tcPr>
            <w:tcW w:w="357" w:type="pct"/>
            <w:vMerge/>
            <w:shd w:val="clear" w:color="auto" w:fill="auto"/>
            <w:vAlign w:val="center"/>
          </w:tcPr>
          <w:p w:rsidR="00177EED" w:rsidRPr="00260982" w:rsidRDefault="00177EED" w:rsidP="00CE3107">
            <w:pPr>
              <w:jc w:val="center"/>
              <w:rPr>
                <w:rFonts w:ascii="宋体" w:hAnsi="宋体"/>
                <w:szCs w:val="21"/>
              </w:rPr>
            </w:pP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30</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城镇生活污水处理率</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9</w:t>
            </w:r>
            <w:r w:rsidRPr="00260982">
              <w:rPr>
                <w:rFonts w:ascii="宋体" w:hAnsi="宋体"/>
                <w:szCs w:val="21"/>
              </w:rPr>
              <w:t>8</w:t>
            </w:r>
            <w:r w:rsidRPr="00260982">
              <w:rPr>
                <w:rFonts w:ascii="宋体" w:hAnsi="宋体" w:hint="eastAsia"/>
                <w:szCs w:val="21"/>
              </w:rPr>
              <w:t>%</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w:t>
            </w:r>
            <w:r w:rsidRPr="00260982">
              <w:rPr>
                <w:rFonts w:ascii="宋体" w:hAnsi="宋体"/>
                <w:szCs w:val="21"/>
              </w:rPr>
              <w:t>98</w:t>
            </w:r>
            <w:r w:rsidRPr="00260982">
              <w:rPr>
                <w:rFonts w:ascii="宋体" w:hAnsi="宋体" w:hint="eastAsia"/>
                <w:szCs w:val="21"/>
              </w:rPr>
              <w:t>%</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≥100%</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约束性</w:t>
            </w:r>
          </w:p>
        </w:tc>
      </w:tr>
      <w:tr w:rsidR="00177EED" w:rsidRPr="00D13AAD" w:rsidTr="00177EED">
        <w:trPr>
          <w:trHeight w:val="402"/>
          <w:jc w:val="center"/>
        </w:trPr>
        <w:tc>
          <w:tcPr>
            <w:tcW w:w="357" w:type="pct"/>
            <w:vMerge/>
            <w:shd w:val="clear" w:color="auto" w:fill="auto"/>
            <w:vAlign w:val="center"/>
          </w:tcPr>
          <w:p w:rsidR="00177EED" w:rsidRPr="00260982" w:rsidRDefault="00177EED" w:rsidP="00CE3107">
            <w:pPr>
              <w:jc w:val="center"/>
              <w:rPr>
                <w:rFonts w:ascii="宋体" w:hAnsi="宋体"/>
                <w:szCs w:val="21"/>
              </w:rPr>
            </w:pP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31</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城镇生活垃圾无害化处理率</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100%</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100%</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100%</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约束性</w:t>
            </w:r>
          </w:p>
        </w:tc>
      </w:tr>
      <w:tr w:rsidR="00177EED" w:rsidRPr="00D13AAD" w:rsidTr="00177EED">
        <w:trPr>
          <w:trHeight w:val="196"/>
          <w:jc w:val="center"/>
        </w:trPr>
        <w:tc>
          <w:tcPr>
            <w:tcW w:w="357" w:type="pct"/>
            <w:vMerge/>
            <w:shd w:val="clear" w:color="auto" w:fill="auto"/>
            <w:vAlign w:val="center"/>
          </w:tcPr>
          <w:p w:rsidR="00177EED" w:rsidRPr="00260982" w:rsidRDefault="00177EED" w:rsidP="00CE3107">
            <w:pPr>
              <w:jc w:val="center"/>
              <w:rPr>
                <w:rFonts w:ascii="宋体" w:hAnsi="宋体"/>
                <w:szCs w:val="21"/>
              </w:rPr>
            </w:pP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32</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危险固废安全处置率</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100%</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100%</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约束性</w:t>
            </w:r>
          </w:p>
        </w:tc>
      </w:tr>
      <w:tr w:rsidR="00177EED" w:rsidRPr="00D13AAD" w:rsidTr="00177EED">
        <w:trPr>
          <w:trHeight w:val="206"/>
          <w:jc w:val="center"/>
        </w:trPr>
        <w:tc>
          <w:tcPr>
            <w:tcW w:w="357" w:type="pct"/>
            <w:vMerge/>
            <w:shd w:val="clear" w:color="auto" w:fill="auto"/>
            <w:vAlign w:val="center"/>
          </w:tcPr>
          <w:p w:rsidR="00177EED" w:rsidRPr="00260982" w:rsidRDefault="00177EED" w:rsidP="00CE3107">
            <w:pPr>
              <w:jc w:val="center"/>
              <w:rPr>
                <w:rFonts w:ascii="宋体" w:hAnsi="宋体"/>
                <w:szCs w:val="21"/>
              </w:rPr>
            </w:pP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33</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公众对环境保护的满意率</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≥80%</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≥90%</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参考性</w:t>
            </w:r>
          </w:p>
        </w:tc>
      </w:tr>
      <w:tr w:rsidR="00177EED" w:rsidRPr="00D13AAD" w:rsidTr="00177EED">
        <w:trPr>
          <w:trHeight w:val="206"/>
          <w:jc w:val="center"/>
        </w:trPr>
        <w:tc>
          <w:tcPr>
            <w:tcW w:w="357" w:type="pct"/>
            <w:vMerge/>
            <w:shd w:val="clear" w:color="auto" w:fill="auto"/>
            <w:vAlign w:val="center"/>
          </w:tcPr>
          <w:p w:rsidR="00177EED" w:rsidRPr="00260982" w:rsidRDefault="00177EED" w:rsidP="00CE3107">
            <w:pPr>
              <w:jc w:val="center"/>
              <w:rPr>
                <w:rFonts w:ascii="宋体" w:hAnsi="宋体"/>
                <w:szCs w:val="21"/>
              </w:rPr>
            </w:pPr>
          </w:p>
        </w:tc>
        <w:tc>
          <w:tcPr>
            <w:tcW w:w="3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szCs w:val="21"/>
              </w:rPr>
              <w:t>34</w:t>
            </w:r>
          </w:p>
        </w:tc>
        <w:tc>
          <w:tcPr>
            <w:tcW w:w="157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环境信息公开率</w:t>
            </w:r>
          </w:p>
        </w:tc>
        <w:tc>
          <w:tcPr>
            <w:tcW w:w="857"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w:t>
            </w:r>
          </w:p>
        </w:tc>
        <w:tc>
          <w:tcPr>
            <w:tcW w:w="786"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≥80%</w:t>
            </w:r>
          </w:p>
        </w:tc>
        <w:tc>
          <w:tcPr>
            <w:tcW w:w="512"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100%</w:t>
            </w:r>
          </w:p>
        </w:tc>
        <w:tc>
          <w:tcPr>
            <w:tcW w:w="561" w:type="pct"/>
            <w:shd w:val="clear" w:color="auto" w:fill="auto"/>
            <w:vAlign w:val="center"/>
          </w:tcPr>
          <w:p w:rsidR="00177EED" w:rsidRPr="00260982" w:rsidRDefault="00177EED" w:rsidP="00CE3107">
            <w:pPr>
              <w:jc w:val="center"/>
              <w:rPr>
                <w:rFonts w:ascii="宋体" w:hAnsi="宋体"/>
                <w:szCs w:val="21"/>
              </w:rPr>
            </w:pPr>
            <w:r w:rsidRPr="00260982">
              <w:rPr>
                <w:rFonts w:ascii="宋体" w:hAnsi="宋体" w:hint="eastAsia"/>
                <w:szCs w:val="21"/>
              </w:rPr>
              <w:t>参考性</w:t>
            </w:r>
          </w:p>
        </w:tc>
      </w:tr>
    </w:tbl>
    <w:p w:rsidR="00177EED" w:rsidRPr="004523D5" w:rsidRDefault="00177EED" w:rsidP="00177EED">
      <w:pPr>
        <w:pStyle w:val="a8"/>
        <w:ind w:firstLineChars="0" w:firstLine="0"/>
        <w:rPr>
          <w:rFonts w:ascii="宋体" w:hAnsi="宋体"/>
          <w:color w:val="000000"/>
        </w:rPr>
      </w:pPr>
    </w:p>
    <w:p w:rsidR="00177EED" w:rsidRPr="00177EED" w:rsidRDefault="00177EED" w:rsidP="001C6291">
      <w:pPr>
        <w:pStyle w:val="1"/>
        <w:numPr>
          <w:ilvl w:val="0"/>
          <w:numId w:val="7"/>
        </w:numPr>
      </w:pPr>
      <w:r w:rsidRPr="00177EED">
        <w:rPr>
          <w:rFonts w:hint="eastAsia"/>
        </w:rPr>
        <w:lastRenderedPageBreak/>
        <w:t>环境功能区管控</w:t>
      </w:r>
    </w:p>
    <w:p w:rsidR="00177EED" w:rsidRPr="00177EED" w:rsidRDefault="00177EED" w:rsidP="00177EED">
      <w:pPr>
        <w:spacing w:line="360" w:lineRule="auto"/>
        <w:ind w:firstLineChars="200" w:firstLine="480"/>
        <w:rPr>
          <w:sz w:val="24"/>
          <w:szCs w:val="20"/>
        </w:rPr>
      </w:pPr>
      <w:r w:rsidRPr="00177EED">
        <w:rPr>
          <w:sz w:val="24"/>
          <w:szCs w:val="20"/>
        </w:rPr>
        <w:t>根据</w:t>
      </w:r>
      <w:r w:rsidRPr="00177EED">
        <w:rPr>
          <w:rFonts w:hint="eastAsia"/>
          <w:sz w:val="24"/>
          <w:szCs w:val="20"/>
        </w:rPr>
        <w:t>各</w:t>
      </w:r>
      <w:r w:rsidRPr="00177EED">
        <w:rPr>
          <w:sz w:val="24"/>
          <w:szCs w:val="20"/>
        </w:rPr>
        <w:t>环境功能区</w:t>
      </w:r>
      <w:r w:rsidRPr="00177EED">
        <w:rPr>
          <w:rFonts w:hint="eastAsia"/>
          <w:sz w:val="24"/>
          <w:szCs w:val="20"/>
        </w:rPr>
        <w:t>的主导环境功能及环境质量目标要求</w:t>
      </w:r>
      <w:r w:rsidRPr="00177EED">
        <w:rPr>
          <w:sz w:val="24"/>
          <w:szCs w:val="20"/>
        </w:rPr>
        <w:t>，建立</w:t>
      </w:r>
      <w:r w:rsidRPr="00177EED">
        <w:rPr>
          <w:rFonts w:hint="eastAsia"/>
          <w:sz w:val="24"/>
          <w:szCs w:val="20"/>
        </w:rPr>
        <w:t>“</w:t>
      </w:r>
      <w:r w:rsidRPr="00177EED">
        <w:rPr>
          <w:sz w:val="24"/>
          <w:szCs w:val="20"/>
        </w:rPr>
        <w:t>分区管理、分类指导</w:t>
      </w:r>
      <w:r w:rsidRPr="00177EED">
        <w:rPr>
          <w:rFonts w:hint="eastAsia"/>
          <w:sz w:val="24"/>
          <w:szCs w:val="20"/>
        </w:rPr>
        <w:t>”</w:t>
      </w:r>
      <w:r w:rsidRPr="00177EED">
        <w:rPr>
          <w:sz w:val="24"/>
          <w:szCs w:val="20"/>
        </w:rPr>
        <w:t>的环境管理体系，制定</w:t>
      </w:r>
      <w:r w:rsidRPr="00177EED">
        <w:rPr>
          <w:rFonts w:hint="eastAsia"/>
          <w:sz w:val="24"/>
          <w:szCs w:val="20"/>
        </w:rPr>
        <w:t>差异化的环境管控措施。</w:t>
      </w:r>
    </w:p>
    <w:p w:rsidR="00177EED" w:rsidRPr="00177EED" w:rsidRDefault="00177EED" w:rsidP="00177EED">
      <w:pPr>
        <w:widowControl/>
        <w:numPr>
          <w:ilvl w:val="1"/>
          <w:numId w:val="2"/>
        </w:numPr>
        <w:spacing w:beforeLines="50" w:before="156" w:afterLines="50" w:after="156" w:line="276" w:lineRule="auto"/>
        <w:ind w:firstLineChars="200" w:firstLine="482"/>
        <w:jc w:val="center"/>
        <w:rPr>
          <w:rFonts w:ascii="宋体" w:hAnsi="宋体" w:cs="宋体"/>
          <w:b/>
          <w:color w:val="000000"/>
          <w:kern w:val="0"/>
          <w:sz w:val="24"/>
        </w:rPr>
      </w:pPr>
      <w:r w:rsidRPr="00177EED">
        <w:rPr>
          <w:rFonts w:ascii="宋体" w:hAnsi="宋体" w:cs="宋体"/>
          <w:b/>
          <w:color w:val="000000"/>
          <w:kern w:val="0"/>
          <w:sz w:val="24"/>
        </w:rPr>
        <w:t>环境功能区主导环境功能及环境目标一览表</w:t>
      </w:r>
    </w:p>
    <w:tbl>
      <w:tblPr>
        <w:tblW w:w="5000" w:type="pct"/>
        <w:tblLook w:val="04A0" w:firstRow="1" w:lastRow="0" w:firstColumn="1" w:lastColumn="0" w:noHBand="0" w:noVBand="1"/>
      </w:tblPr>
      <w:tblGrid>
        <w:gridCol w:w="746"/>
        <w:gridCol w:w="544"/>
        <w:gridCol w:w="1082"/>
        <w:gridCol w:w="1203"/>
        <w:gridCol w:w="1067"/>
        <w:gridCol w:w="1220"/>
        <w:gridCol w:w="937"/>
        <w:gridCol w:w="1497"/>
      </w:tblGrid>
      <w:tr w:rsidR="00177EED" w:rsidRPr="00177EED" w:rsidTr="00CE6FD8">
        <w:trPr>
          <w:trHeight w:val="270"/>
          <w:tblHeader/>
        </w:trPr>
        <w:tc>
          <w:tcPr>
            <w:tcW w:w="4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color w:val="000000"/>
                <w:kern w:val="0"/>
                <w:szCs w:val="21"/>
              </w:rPr>
              <w:t>环境功能区</w:t>
            </w:r>
          </w:p>
        </w:tc>
        <w:tc>
          <w:tcPr>
            <w:tcW w:w="3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color w:val="000000"/>
                <w:kern w:val="0"/>
                <w:szCs w:val="21"/>
              </w:rPr>
              <w:t>环境功能亚区</w:t>
            </w:r>
          </w:p>
        </w:tc>
        <w:tc>
          <w:tcPr>
            <w:tcW w:w="6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color w:val="000000"/>
                <w:kern w:val="0"/>
                <w:szCs w:val="21"/>
              </w:rPr>
              <w:t>主导环境</w:t>
            </w:r>
          </w:p>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color w:val="000000"/>
                <w:kern w:val="0"/>
                <w:szCs w:val="21"/>
              </w:rPr>
              <w:t>功能</w:t>
            </w:r>
          </w:p>
        </w:tc>
        <w:tc>
          <w:tcPr>
            <w:tcW w:w="2668" w:type="pct"/>
            <w:gridSpan w:val="4"/>
            <w:tcBorders>
              <w:top w:val="single" w:sz="4" w:space="0" w:color="auto"/>
              <w:left w:val="nil"/>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color w:val="000000"/>
                <w:kern w:val="0"/>
                <w:szCs w:val="21"/>
              </w:rPr>
              <w:t>环境质量目标</w:t>
            </w:r>
          </w:p>
        </w:tc>
        <w:tc>
          <w:tcPr>
            <w:tcW w:w="902" w:type="pct"/>
            <w:vMerge w:val="restart"/>
            <w:tcBorders>
              <w:top w:val="single" w:sz="4" w:space="0" w:color="auto"/>
              <w:left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color w:val="000000"/>
                <w:kern w:val="0"/>
                <w:szCs w:val="21"/>
              </w:rPr>
              <w:t>生态保护目标</w:t>
            </w:r>
          </w:p>
        </w:tc>
      </w:tr>
      <w:tr w:rsidR="00177EED" w:rsidRPr="00177EED" w:rsidTr="00CE6FD8">
        <w:trPr>
          <w:trHeight w:val="270"/>
          <w:tblHeader/>
        </w:trPr>
        <w:tc>
          <w:tcPr>
            <w:tcW w:w="450" w:type="pct"/>
            <w:vMerge/>
            <w:tcBorders>
              <w:top w:val="single" w:sz="4" w:space="0" w:color="auto"/>
              <w:left w:val="single" w:sz="4" w:space="0" w:color="auto"/>
              <w:bottom w:val="single" w:sz="4" w:space="0" w:color="000000"/>
              <w:right w:val="single" w:sz="4" w:space="0" w:color="auto"/>
            </w:tcBorders>
            <w:vAlign w:val="center"/>
            <w:hideMark/>
          </w:tcPr>
          <w:p w:rsidR="00177EED" w:rsidRPr="00177EED" w:rsidRDefault="00177EED" w:rsidP="00177EED">
            <w:pPr>
              <w:widowControl/>
              <w:spacing w:line="276" w:lineRule="auto"/>
              <w:jc w:val="center"/>
              <w:rPr>
                <w:rFonts w:ascii="宋体" w:hAnsi="宋体"/>
                <w:color w:val="000000"/>
                <w:kern w:val="0"/>
                <w:szCs w:val="21"/>
              </w:rPr>
            </w:pPr>
          </w:p>
        </w:tc>
        <w:tc>
          <w:tcPr>
            <w:tcW w:w="328" w:type="pct"/>
            <w:vMerge/>
            <w:tcBorders>
              <w:top w:val="single" w:sz="4" w:space="0" w:color="auto"/>
              <w:left w:val="single" w:sz="4" w:space="0" w:color="auto"/>
              <w:bottom w:val="single" w:sz="4" w:space="0" w:color="000000"/>
              <w:right w:val="single" w:sz="4" w:space="0" w:color="auto"/>
            </w:tcBorders>
            <w:vAlign w:val="center"/>
            <w:hideMark/>
          </w:tcPr>
          <w:p w:rsidR="00177EED" w:rsidRPr="00177EED" w:rsidRDefault="00177EED" w:rsidP="00177EED">
            <w:pPr>
              <w:widowControl/>
              <w:spacing w:line="276" w:lineRule="auto"/>
              <w:jc w:val="center"/>
              <w:rPr>
                <w:rFonts w:ascii="宋体" w:hAnsi="宋体"/>
                <w:color w:val="000000"/>
                <w:kern w:val="0"/>
                <w:szCs w:val="21"/>
              </w:rPr>
            </w:pPr>
          </w:p>
        </w:tc>
        <w:tc>
          <w:tcPr>
            <w:tcW w:w="652" w:type="pct"/>
            <w:vMerge/>
            <w:tcBorders>
              <w:top w:val="single" w:sz="4" w:space="0" w:color="auto"/>
              <w:left w:val="single" w:sz="4" w:space="0" w:color="auto"/>
              <w:bottom w:val="single" w:sz="4" w:space="0" w:color="000000"/>
              <w:right w:val="single" w:sz="4" w:space="0" w:color="auto"/>
            </w:tcBorders>
            <w:vAlign w:val="center"/>
            <w:hideMark/>
          </w:tcPr>
          <w:p w:rsidR="00177EED" w:rsidRPr="00177EED" w:rsidRDefault="00177EED" w:rsidP="00177EED">
            <w:pPr>
              <w:widowControl/>
              <w:spacing w:line="276" w:lineRule="auto"/>
              <w:jc w:val="center"/>
              <w:rPr>
                <w:rFonts w:ascii="宋体" w:hAnsi="宋体"/>
                <w:color w:val="000000"/>
                <w:kern w:val="0"/>
                <w:szCs w:val="21"/>
              </w:rPr>
            </w:pPr>
          </w:p>
        </w:tc>
        <w:tc>
          <w:tcPr>
            <w:tcW w:w="725" w:type="pct"/>
            <w:tcBorders>
              <w:top w:val="nil"/>
              <w:left w:val="nil"/>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color w:val="000000"/>
                <w:kern w:val="0"/>
                <w:szCs w:val="21"/>
              </w:rPr>
              <w:t>水</w:t>
            </w:r>
          </w:p>
        </w:tc>
        <w:tc>
          <w:tcPr>
            <w:tcW w:w="643" w:type="pct"/>
            <w:tcBorders>
              <w:top w:val="nil"/>
              <w:left w:val="nil"/>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color w:val="000000"/>
                <w:kern w:val="0"/>
                <w:szCs w:val="21"/>
              </w:rPr>
              <w:t>大 气</w:t>
            </w:r>
          </w:p>
        </w:tc>
        <w:tc>
          <w:tcPr>
            <w:tcW w:w="735" w:type="pct"/>
            <w:tcBorders>
              <w:top w:val="nil"/>
              <w:left w:val="nil"/>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hint="eastAsia"/>
                <w:color w:val="000000"/>
                <w:kern w:val="0"/>
                <w:szCs w:val="21"/>
              </w:rPr>
              <w:t>土 壤</w:t>
            </w:r>
          </w:p>
        </w:tc>
        <w:tc>
          <w:tcPr>
            <w:tcW w:w="565" w:type="pct"/>
            <w:tcBorders>
              <w:top w:val="nil"/>
              <w:left w:val="nil"/>
              <w:bottom w:val="single" w:sz="4" w:space="0" w:color="auto"/>
              <w:right w:val="single" w:sz="4" w:space="0" w:color="auto"/>
            </w:tcBorders>
            <w:shd w:val="clear" w:color="auto" w:fill="auto"/>
            <w:vAlign w:val="center"/>
          </w:tcPr>
          <w:p w:rsidR="00177EED" w:rsidRPr="00177EED" w:rsidRDefault="00177EED" w:rsidP="00177EED">
            <w:pPr>
              <w:spacing w:line="276" w:lineRule="auto"/>
              <w:jc w:val="center"/>
              <w:rPr>
                <w:rFonts w:ascii="宋体" w:hAnsi="宋体"/>
                <w:color w:val="000000"/>
                <w:kern w:val="0"/>
                <w:szCs w:val="21"/>
              </w:rPr>
            </w:pPr>
            <w:r w:rsidRPr="00177EED">
              <w:rPr>
                <w:rFonts w:ascii="宋体" w:hAnsi="宋体" w:hint="eastAsia"/>
                <w:color w:val="000000"/>
                <w:kern w:val="0"/>
                <w:szCs w:val="21"/>
              </w:rPr>
              <w:t>声环境</w:t>
            </w:r>
          </w:p>
        </w:tc>
        <w:tc>
          <w:tcPr>
            <w:tcW w:w="902" w:type="pct"/>
            <w:vMerge/>
            <w:tcBorders>
              <w:left w:val="single" w:sz="4" w:space="0" w:color="auto"/>
              <w:bottom w:val="single" w:sz="4" w:space="0" w:color="000000"/>
              <w:right w:val="single" w:sz="4" w:space="0" w:color="auto"/>
            </w:tcBorders>
            <w:vAlign w:val="center"/>
            <w:hideMark/>
          </w:tcPr>
          <w:p w:rsidR="00177EED" w:rsidRPr="00177EED" w:rsidRDefault="00177EED" w:rsidP="00177EED">
            <w:pPr>
              <w:widowControl/>
              <w:spacing w:line="276" w:lineRule="auto"/>
              <w:jc w:val="center"/>
              <w:rPr>
                <w:rFonts w:ascii="宋体" w:hAnsi="宋体"/>
                <w:color w:val="000000"/>
                <w:kern w:val="0"/>
                <w:szCs w:val="21"/>
              </w:rPr>
            </w:pPr>
          </w:p>
        </w:tc>
      </w:tr>
      <w:tr w:rsidR="00177EED" w:rsidRPr="00177EED" w:rsidTr="00CE6FD8">
        <w:trPr>
          <w:trHeight w:val="615"/>
        </w:trPr>
        <w:tc>
          <w:tcPr>
            <w:tcW w:w="450" w:type="pct"/>
            <w:vMerge w:val="restart"/>
            <w:tcBorders>
              <w:top w:val="nil"/>
              <w:left w:val="single" w:sz="4" w:space="0" w:color="auto"/>
              <w:bottom w:val="single" w:sz="4" w:space="0" w:color="000000"/>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color w:val="000000"/>
                <w:kern w:val="0"/>
                <w:szCs w:val="21"/>
              </w:rPr>
              <w:t>I自然生态保留区</w:t>
            </w:r>
          </w:p>
        </w:tc>
        <w:tc>
          <w:tcPr>
            <w:tcW w:w="328" w:type="pct"/>
            <w:vMerge w:val="restart"/>
            <w:tcBorders>
              <w:top w:val="nil"/>
              <w:left w:val="single" w:sz="4" w:space="0" w:color="auto"/>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color w:val="000000"/>
                <w:kern w:val="0"/>
                <w:szCs w:val="21"/>
              </w:rPr>
              <w:t>—</w:t>
            </w:r>
          </w:p>
        </w:tc>
        <w:tc>
          <w:tcPr>
            <w:tcW w:w="652" w:type="pct"/>
            <w:vMerge w:val="restart"/>
            <w:tcBorders>
              <w:top w:val="nil"/>
              <w:left w:val="single" w:sz="4" w:space="0" w:color="auto"/>
              <w:bottom w:val="single" w:sz="4" w:space="0" w:color="000000"/>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color w:val="000000"/>
                <w:kern w:val="0"/>
                <w:szCs w:val="21"/>
              </w:rPr>
              <w:t>自然与人文景观保护，生物多样性保护</w:t>
            </w:r>
          </w:p>
        </w:tc>
        <w:tc>
          <w:tcPr>
            <w:tcW w:w="725" w:type="pct"/>
            <w:vMerge w:val="restart"/>
            <w:tcBorders>
              <w:top w:val="nil"/>
              <w:left w:val="single" w:sz="4" w:space="0" w:color="auto"/>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hint="eastAsia"/>
                <w:color w:val="000000"/>
                <w:kern w:val="0"/>
                <w:szCs w:val="21"/>
              </w:rPr>
              <w:t>优于或达到地表水环境质量Ⅰ类标准</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color w:val="000000"/>
                <w:kern w:val="0"/>
                <w:szCs w:val="21"/>
              </w:rPr>
              <w:t>达到环境空气质量标准</w:t>
            </w:r>
            <w:r w:rsidRPr="00177EED">
              <w:rPr>
                <w:rFonts w:ascii="宋体" w:hAnsi="宋体" w:hint="eastAsia"/>
                <w:color w:val="000000"/>
                <w:kern w:val="0"/>
                <w:szCs w:val="21"/>
              </w:rPr>
              <w:t>一</w:t>
            </w:r>
            <w:r w:rsidRPr="00177EED">
              <w:rPr>
                <w:rFonts w:ascii="宋体" w:hAnsi="宋体"/>
                <w:color w:val="000000"/>
                <w:kern w:val="0"/>
                <w:szCs w:val="21"/>
              </w:rPr>
              <w:t>级浓度限值</w:t>
            </w:r>
          </w:p>
        </w:tc>
        <w:tc>
          <w:tcPr>
            <w:tcW w:w="735" w:type="pct"/>
            <w:vMerge w:val="restart"/>
            <w:tcBorders>
              <w:top w:val="nil"/>
              <w:left w:val="single" w:sz="4" w:space="0" w:color="auto"/>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hint="eastAsia"/>
                <w:color w:val="000000"/>
                <w:kern w:val="0"/>
                <w:szCs w:val="21"/>
              </w:rPr>
              <w:t>土壤环境质量保持本底状态或者功能区要求</w:t>
            </w:r>
          </w:p>
        </w:tc>
        <w:tc>
          <w:tcPr>
            <w:tcW w:w="565" w:type="pct"/>
            <w:vMerge w:val="restart"/>
            <w:tcBorders>
              <w:top w:val="nil"/>
              <w:left w:val="single" w:sz="4" w:space="0" w:color="auto"/>
              <w:bottom w:val="single" w:sz="4" w:space="0" w:color="auto"/>
              <w:right w:val="single" w:sz="4" w:space="0" w:color="auto"/>
            </w:tcBorders>
            <w:shd w:val="clear" w:color="auto" w:fill="auto"/>
            <w:vAlign w:val="center"/>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hint="eastAsia"/>
                <w:color w:val="000000"/>
                <w:kern w:val="0"/>
                <w:szCs w:val="21"/>
              </w:rPr>
              <w:t>达到1类声环境质量标准</w:t>
            </w:r>
          </w:p>
        </w:tc>
        <w:tc>
          <w:tcPr>
            <w:tcW w:w="902" w:type="pct"/>
            <w:vMerge w:val="restart"/>
            <w:tcBorders>
              <w:top w:val="nil"/>
              <w:left w:val="single" w:sz="4" w:space="0" w:color="auto"/>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color w:val="000000"/>
                <w:kern w:val="0"/>
                <w:szCs w:val="21"/>
              </w:rPr>
              <w:t>保持本底值，并持续优化</w:t>
            </w:r>
          </w:p>
        </w:tc>
      </w:tr>
      <w:tr w:rsidR="00177EED" w:rsidRPr="00177EED" w:rsidTr="00CE6FD8">
        <w:trPr>
          <w:trHeight w:val="507"/>
        </w:trPr>
        <w:tc>
          <w:tcPr>
            <w:tcW w:w="450" w:type="pct"/>
            <w:vMerge/>
            <w:tcBorders>
              <w:top w:val="nil"/>
              <w:left w:val="single" w:sz="4" w:space="0" w:color="auto"/>
              <w:bottom w:val="single" w:sz="4" w:space="0" w:color="auto"/>
              <w:right w:val="single" w:sz="4" w:space="0" w:color="auto"/>
            </w:tcBorders>
            <w:vAlign w:val="center"/>
            <w:hideMark/>
          </w:tcPr>
          <w:p w:rsidR="00177EED" w:rsidRPr="00177EED" w:rsidRDefault="00177EED" w:rsidP="00177EED">
            <w:pPr>
              <w:widowControl/>
              <w:spacing w:line="276" w:lineRule="auto"/>
              <w:jc w:val="center"/>
              <w:rPr>
                <w:rFonts w:ascii="宋体" w:hAnsi="宋体"/>
                <w:color w:val="000000"/>
                <w:kern w:val="0"/>
                <w:szCs w:val="21"/>
              </w:rPr>
            </w:pPr>
          </w:p>
        </w:tc>
        <w:tc>
          <w:tcPr>
            <w:tcW w:w="328" w:type="pct"/>
            <w:vMerge/>
            <w:tcBorders>
              <w:top w:val="nil"/>
              <w:left w:val="single" w:sz="4" w:space="0" w:color="auto"/>
              <w:bottom w:val="single" w:sz="4" w:space="0" w:color="auto"/>
              <w:right w:val="single" w:sz="4" w:space="0" w:color="auto"/>
            </w:tcBorders>
            <w:vAlign w:val="center"/>
            <w:hideMark/>
          </w:tcPr>
          <w:p w:rsidR="00177EED" w:rsidRPr="00177EED" w:rsidRDefault="00177EED" w:rsidP="00177EED">
            <w:pPr>
              <w:widowControl/>
              <w:spacing w:line="276" w:lineRule="auto"/>
              <w:jc w:val="center"/>
              <w:rPr>
                <w:rFonts w:ascii="宋体" w:hAnsi="宋体"/>
                <w:color w:val="000000"/>
                <w:kern w:val="0"/>
                <w:szCs w:val="21"/>
              </w:rPr>
            </w:pPr>
          </w:p>
        </w:tc>
        <w:tc>
          <w:tcPr>
            <w:tcW w:w="652" w:type="pct"/>
            <w:vMerge/>
            <w:tcBorders>
              <w:top w:val="nil"/>
              <w:left w:val="single" w:sz="4" w:space="0" w:color="auto"/>
              <w:bottom w:val="single" w:sz="4" w:space="0" w:color="auto"/>
              <w:right w:val="single" w:sz="4" w:space="0" w:color="auto"/>
            </w:tcBorders>
            <w:vAlign w:val="center"/>
            <w:hideMark/>
          </w:tcPr>
          <w:p w:rsidR="00177EED" w:rsidRPr="00177EED" w:rsidRDefault="00177EED" w:rsidP="00177EED">
            <w:pPr>
              <w:widowControl/>
              <w:spacing w:line="276" w:lineRule="auto"/>
              <w:jc w:val="center"/>
              <w:rPr>
                <w:rFonts w:ascii="宋体" w:hAnsi="宋体"/>
                <w:color w:val="000000"/>
                <w:kern w:val="0"/>
                <w:szCs w:val="21"/>
              </w:rPr>
            </w:pPr>
          </w:p>
        </w:tc>
        <w:tc>
          <w:tcPr>
            <w:tcW w:w="725" w:type="pct"/>
            <w:vMerge/>
            <w:tcBorders>
              <w:top w:val="nil"/>
              <w:left w:val="single" w:sz="4" w:space="0" w:color="auto"/>
              <w:bottom w:val="single" w:sz="4" w:space="0" w:color="auto"/>
              <w:right w:val="single" w:sz="4" w:space="0" w:color="auto"/>
            </w:tcBorders>
            <w:vAlign w:val="center"/>
            <w:hideMark/>
          </w:tcPr>
          <w:p w:rsidR="00177EED" w:rsidRPr="00177EED" w:rsidRDefault="00177EED" w:rsidP="00177EED">
            <w:pPr>
              <w:widowControl/>
              <w:spacing w:line="276" w:lineRule="auto"/>
              <w:jc w:val="center"/>
              <w:rPr>
                <w:rFonts w:ascii="宋体" w:hAnsi="宋体"/>
                <w:color w:val="000000"/>
                <w:kern w:val="0"/>
                <w:szCs w:val="21"/>
              </w:rPr>
            </w:pPr>
          </w:p>
        </w:tc>
        <w:tc>
          <w:tcPr>
            <w:tcW w:w="643" w:type="pct"/>
            <w:vMerge/>
            <w:tcBorders>
              <w:top w:val="nil"/>
              <w:left w:val="single" w:sz="4" w:space="0" w:color="auto"/>
              <w:bottom w:val="single" w:sz="4" w:space="0" w:color="auto"/>
              <w:right w:val="single" w:sz="4" w:space="0" w:color="auto"/>
            </w:tcBorders>
            <w:vAlign w:val="center"/>
            <w:hideMark/>
          </w:tcPr>
          <w:p w:rsidR="00177EED" w:rsidRPr="00177EED" w:rsidRDefault="00177EED" w:rsidP="00177EED">
            <w:pPr>
              <w:widowControl/>
              <w:spacing w:line="276" w:lineRule="auto"/>
              <w:jc w:val="center"/>
              <w:rPr>
                <w:rFonts w:ascii="宋体" w:hAnsi="宋体"/>
                <w:color w:val="000000"/>
                <w:kern w:val="0"/>
                <w:szCs w:val="21"/>
              </w:rPr>
            </w:pPr>
          </w:p>
        </w:tc>
        <w:tc>
          <w:tcPr>
            <w:tcW w:w="735" w:type="pct"/>
            <w:vMerge/>
            <w:tcBorders>
              <w:top w:val="nil"/>
              <w:left w:val="single" w:sz="4" w:space="0" w:color="auto"/>
              <w:bottom w:val="single" w:sz="4" w:space="0" w:color="auto"/>
              <w:right w:val="single" w:sz="4" w:space="0" w:color="auto"/>
            </w:tcBorders>
            <w:vAlign w:val="center"/>
            <w:hideMark/>
          </w:tcPr>
          <w:p w:rsidR="00177EED" w:rsidRPr="00177EED" w:rsidRDefault="00177EED" w:rsidP="00177EED">
            <w:pPr>
              <w:widowControl/>
              <w:spacing w:line="276" w:lineRule="auto"/>
              <w:jc w:val="center"/>
              <w:rPr>
                <w:rFonts w:ascii="宋体" w:hAnsi="宋体"/>
                <w:color w:val="000000"/>
                <w:kern w:val="0"/>
                <w:szCs w:val="21"/>
              </w:rPr>
            </w:pPr>
          </w:p>
        </w:tc>
        <w:tc>
          <w:tcPr>
            <w:tcW w:w="565" w:type="pct"/>
            <w:vMerge/>
            <w:tcBorders>
              <w:top w:val="nil"/>
              <w:left w:val="single" w:sz="4" w:space="0" w:color="auto"/>
              <w:bottom w:val="single" w:sz="4" w:space="0" w:color="auto"/>
              <w:right w:val="single" w:sz="4" w:space="0" w:color="auto"/>
            </w:tcBorders>
            <w:vAlign w:val="center"/>
          </w:tcPr>
          <w:p w:rsidR="00177EED" w:rsidRPr="00177EED" w:rsidRDefault="00177EED" w:rsidP="00177EED">
            <w:pPr>
              <w:widowControl/>
              <w:spacing w:line="276" w:lineRule="auto"/>
              <w:jc w:val="center"/>
              <w:rPr>
                <w:rFonts w:ascii="宋体" w:hAnsi="宋体"/>
                <w:color w:val="000000"/>
                <w:kern w:val="0"/>
                <w:szCs w:val="21"/>
              </w:rPr>
            </w:pPr>
          </w:p>
        </w:tc>
        <w:tc>
          <w:tcPr>
            <w:tcW w:w="902" w:type="pct"/>
            <w:vMerge/>
            <w:tcBorders>
              <w:top w:val="nil"/>
              <w:left w:val="single" w:sz="4" w:space="0" w:color="auto"/>
              <w:bottom w:val="single" w:sz="4" w:space="0" w:color="auto"/>
              <w:right w:val="single" w:sz="4" w:space="0" w:color="auto"/>
            </w:tcBorders>
            <w:vAlign w:val="center"/>
            <w:hideMark/>
          </w:tcPr>
          <w:p w:rsidR="00177EED" w:rsidRPr="00177EED" w:rsidRDefault="00177EED" w:rsidP="00177EED">
            <w:pPr>
              <w:widowControl/>
              <w:spacing w:line="276" w:lineRule="auto"/>
              <w:jc w:val="center"/>
              <w:rPr>
                <w:rFonts w:ascii="宋体" w:hAnsi="宋体"/>
                <w:color w:val="000000"/>
                <w:kern w:val="0"/>
                <w:szCs w:val="21"/>
              </w:rPr>
            </w:pPr>
          </w:p>
        </w:tc>
      </w:tr>
      <w:tr w:rsidR="00177EED" w:rsidRPr="00177EED" w:rsidTr="00CE6FD8">
        <w:trPr>
          <w:trHeight w:val="450"/>
        </w:trPr>
        <w:tc>
          <w:tcPr>
            <w:tcW w:w="450"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color w:val="000000"/>
                <w:kern w:val="0"/>
                <w:szCs w:val="21"/>
              </w:rPr>
              <w:t>II生态功能</w:t>
            </w:r>
            <w:r w:rsidRPr="00177EED">
              <w:rPr>
                <w:rFonts w:ascii="宋体" w:hAnsi="宋体" w:hint="eastAsia"/>
                <w:color w:val="000000"/>
                <w:kern w:val="0"/>
                <w:szCs w:val="21"/>
              </w:rPr>
              <w:t>调节</w:t>
            </w:r>
            <w:r w:rsidRPr="00177EED">
              <w:rPr>
                <w:rFonts w:ascii="宋体" w:hAnsi="宋体"/>
                <w:color w:val="000000"/>
                <w:kern w:val="0"/>
                <w:szCs w:val="21"/>
              </w:rPr>
              <w:t>区</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color w:val="000000"/>
                <w:kern w:val="0"/>
                <w:szCs w:val="21"/>
              </w:rPr>
              <w:t>—</w:t>
            </w:r>
          </w:p>
        </w:tc>
        <w:tc>
          <w:tcPr>
            <w:tcW w:w="652" w:type="pct"/>
            <w:tcBorders>
              <w:top w:val="single" w:sz="4" w:space="0" w:color="auto"/>
              <w:left w:val="nil"/>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hint="eastAsia"/>
                <w:color w:val="000000"/>
                <w:kern w:val="0"/>
                <w:szCs w:val="21"/>
              </w:rPr>
              <w:t>水源涵养/水土保持</w:t>
            </w:r>
          </w:p>
        </w:tc>
        <w:tc>
          <w:tcPr>
            <w:tcW w:w="725" w:type="pct"/>
            <w:tcBorders>
              <w:top w:val="single" w:sz="4" w:space="0" w:color="auto"/>
              <w:left w:val="nil"/>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hint="eastAsia"/>
                <w:color w:val="000000"/>
                <w:kern w:val="0"/>
                <w:szCs w:val="21"/>
              </w:rPr>
              <w:t>达到水环境功能区要求</w:t>
            </w:r>
          </w:p>
        </w:tc>
        <w:tc>
          <w:tcPr>
            <w:tcW w:w="643" w:type="pct"/>
            <w:tcBorders>
              <w:top w:val="single" w:sz="4" w:space="0" w:color="auto"/>
              <w:left w:val="nil"/>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color w:val="000000"/>
                <w:kern w:val="0"/>
                <w:szCs w:val="21"/>
              </w:rPr>
              <w:t>达到环境空气质量标准二级浓度限值</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hint="eastAsia"/>
                <w:color w:val="000000"/>
                <w:kern w:val="0"/>
                <w:szCs w:val="21"/>
              </w:rPr>
              <w:t>达到一级或功能区要求</w:t>
            </w:r>
          </w:p>
        </w:tc>
        <w:tc>
          <w:tcPr>
            <w:tcW w:w="565" w:type="pct"/>
            <w:tcBorders>
              <w:top w:val="single" w:sz="4" w:space="0" w:color="auto"/>
              <w:left w:val="nil"/>
              <w:bottom w:val="single" w:sz="4" w:space="0" w:color="auto"/>
              <w:right w:val="single" w:sz="4" w:space="0" w:color="auto"/>
            </w:tcBorders>
            <w:shd w:val="clear" w:color="auto" w:fill="auto"/>
            <w:vAlign w:val="center"/>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hint="eastAsia"/>
                <w:color w:val="000000"/>
                <w:kern w:val="0"/>
                <w:szCs w:val="21"/>
              </w:rPr>
              <w:t>达到1类声环境质量标准</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color w:val="000000"/>
                <w:kern w:val="0"/>
                <w:szCs w:val="21"/>
              </w:rPr>
              <w:t>保障区域生态系统的完整性和稳定性</w:t>
            </w:r>
          </w:p>
        </w:tc>
      </w:tr>
      <w:tr w:rsidR="00177EED" w:rsidRPr="00177EED" w:rsidTr="00CE6FD8">
        <w:trPr>
          <w:trHeight w:val="1125"/>
        </w:trPr>
        <w:tc>
          <w:tcPr>
            <w:tcW w:w="450" w:type="pct"/>
            <w:tcBorders>
              <w:top w:val="nil"/>
              <w:left w:val="single" w:sz="4" w:space="0" w:color="auto"/>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color w:val="000000"/>
                <w:kern w:val="0"/>
                <w:szCs w:val="21"/>
              </w:rPr>
              <w:t>III食物环境安全保障区</w:t>
            </w:r>
          </w:p>
        </w:tc>
        <w:tc>
          <w:tcPr>
            <w:tcW w:w="328" w:type="pct"/>
            <w:tcBorders>
              <w:top w:val="nil"/>
              <w:left w:val="nil"/>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color w:val="000000"/>
                <w:kern w:val="0"/>
                <w:szCs w:val="21"/>
              </w:rPr>
              <w:t>—</w:t>
            </w:r>
          </w:p>
        </w:tc>
        <w:tc>
          <w:tcPr>
            <w:tcW w:w="652" w:type="pct"/>
            <w:tcBorders>
              <w:top w:val="nil"/>
              <w:left w:val="nil"/>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color w:val="000000"/>
                <w:kern w:val="0"/>
                <w:szCs w:val="21"/>
              </w:rPr>
              <w:t>粮食及其他农作物安全生产地提供</w:t>
            </w:r>
          </w:p>
        </w:tc>
        <w:tc>
          <w:tcPr>
            <w:tcW w:w="725" w:type="pct"/>
            <w:tcBorders>
              <w:top w:val="nil"/>
              <w:left w:val="nil"/>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hint="eastAsia"/>
                <w:color w:val="000000"/>
                <w:kern w:val="0"/>
                <w:szCs w:val="21"/>
              </w:rPr>
              <w:t>达到水环境功能区要求，并</w:t>
            </w:r>
            <w:r w:rsidRPr="00177EED">
              <w:rPr>
                <w:rFonts w:ascii="宋体" w:hAnsi="宋体"/>
                <w:color w:val="000000"/>
                <w:kern w:val="0"/>
                <w:szCs w:val="21"/>
              </w:rPr>
              <w:t>符合《农田灌溉水质标准》、《渔业水质标准》和《食用农产品产地环境质量评价标准》中相应标准</w:t>
            </w:r>
          </w:p>
        </w:tc>
        <w:tc>
          <w:tcPr>
            <w:tcW w:w="643" w:type="pct"/>
            <w:tcBorders>
              <w:top w:val="nil"/>
              <w:left w:val="nil"/>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color w:val="000000"/>
                <w:kern w:val="0"/>
                <w:szCs w:val="21"/>
              </w:rPr>
              <w:t>达到环境空气质量标准二级浓度限值，并符合《食用农产品产地环境质量评价标准》中相应标准</w:t>
            </w:r>
          </w:p>
        </w:tc>
        <w:tc>
          <w:tcPr>
            <w:tcW w:w="735" w:type="pct"/>
            <w:tcBorders>
              <w:top w:val="nil"/>
              <w:left w:val="nil"/>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hint="eastAsia"/>
                <w:color w:val="000000"/>
                <w:kern w:val="0"/>
                <w:szCs w:val="21"/>
              </w:rPr>
              <w:t>土壤环境质量达到二级标准，</w:t>
            </w:r>
            <w:r w:rsidRPr="00177EED">
              <w:rPr>
                <w:rFonts w:ascii="宋体" w:hAnsi="宋体"/>
                <w:color w:val="000000"/>
                <w:kern w:val="0"/>
                <w:szCs w:val="21"/>
              </w:rPr>
              <w:t>符合《食用农产品产地环境质量评价标准》中相应标准</w:t>
            </w:r>
          </w:p>
        </w:tc>
        <w:tc>
          <w:tcPr>
            <w:tcW w:w="565" w:type="pct"/>
            <w:tcBorders>
              <w:top w:val="nil"/>
              <w:left w:val="nil"/>
              <w:bottom w:val="single" w:sz="4" w:space="0" w:color="auto"/>
              <w:right w:val="single" w:sz="4" w:space="0" w:color="auto"/>
            </w:tcBorders>
            <w:shd w:val="clear" w:color="auto" w:fill="auto"/>
            <w:vAlign w:val="center"/>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hint="eastAsia"/>
                <w:color w:val="000000"/>
                <w:kern w:val="0"/>
                <w:szCs w:val="21"/>
              </w:rPr>
              <w:t>达到1类声环境质量标准</w:t>
            </w:r>
          </w:p>
        </w:tc>
        <w:tc>
          <w:tcPr>
            <w:tcW w:w="902" w:type="pct"/>
            <w:tcBorders>
              <w:top w:val="nil"/>
              <w:left w:val="nil"/>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hint="eastAsia"/>
                <w:color w:val="000000"/>
                <w:kern w:val="0"/>
                <w:szCs w:val="21"/>
              </w:rPr>
              <w:t>土壤肥力不降低；基本农田保护率达到100%</w:t>
            </w:r>
          </w:p>
        </w:tc>
      </w:tr>
      <w:tr w:rsidR="00177EED" w:rsidRPr="00177EED" w:rsidTr="00CE6FD8">
        <w:trPr>
          <w:trHeight w:val="705"/>
        </w:trPr>
        <w:tc>
          <w:tcPr>
            <w:tcW w:w="450" w:type="pct"/>
            <w:vMerge w:val="restart"/>
            <w:tcBorders>
              <w:top w:val="nil"/>
              <w:left w:val="single" w:sz="4" w:space="0" w:color="auto"/>
              <w:bottom w:val="single" w:sz="4" w:space="0" w:color="000000"/>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color w:val="000000"/>
                <w:kern w:val="0"/>
                <w:szCs w:val="21"/>
              </w:rPr>
              <w:lastRenderedPageBreak/>
              <w:t>IV聚居</w:t>
            </w:r>
            <w:r w:rsidRPr="00177EED">
              <w:rPr>
                <w:rFonts w:ascii="宋体" w:hAnsi="宋体" w:hint="eastAsia"/>
                <w:color w:val="000000"/>
                <w:kern w:val="0"/>
                <w:szCs w:val="21"/>
              </w:rPr>
              <w:t>发展</w:t>
            </w:r>
            <w:r w:rsidRPr="00177EED">
              <w:rPr>
                <w:rFonts w:ascii="宋体" w:hAnsi="宋体"/>
                <w:color w:val="000000"/>
                <w:kern w:val="0"/>
                <w:szCs w:val="21"/>
              </w:rPr>
              <w:t>维护区</w:t>
            </w:r>
          </w:p>
        </w:tc>
        <w:tc>
          <w:tcPr>
            <w:tcW w:w="328" w:type="pct"/>
            <w:tcBorders>
              <w:top w:val="nil"/>
              <w:left w:val="nil"/>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hint="eastAsia"/>
                <w:color w:val="000000"/>
                <w:kern w:val="0"/>
                <w:szCs w:val="21"/>
              </w:rPr>
              <w:t>聚集</w:t>
            </w:r>
            <w:r w:rsidRPr="00177EED">
              <w:rPr>
                <w:rFonts w:ascii="宋体" w:hAnsi="宋体"/>
                <w:color w:val="000000"/>
                <w:kern w:val="0"/>
                <w:szCs w:val="21"/>
              </w:rPr>
              <w:t>环境优化亚区</w:t>
            </w:r>
          </w:p>
        </w:tc>
        <w:tc>
          <w:tcPr>
            <w:tcW w:w="652" w:type="pct"/>
            <w:tcBorders>
              <w:top w:val="nil"/>
              <w:left w:val="nil"/>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color w:val="000000"/>
                <w:kern w:val="0"/>
                <w:szCs w:val="21"/>
              </w:rPr>
              <w:t>提供健康的人居环境</w:t>
            </w:r>
          </w:p>
        </w:tc>
        <w:tc>
          <w:tcPr>
            <w:tcW w:w="725" w:type="pct"/>
            <w:tcBorders>
              <w:top w:val="nil"/>
              <w:left w:val="nil"/>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hint="eastAsia"/>
                <w:color w:val="000000"/>
                <w:kern w:val="0"/>
                <w:szCs w:val="21"/>
              </w:rPr>
              <w:t>达到水环境功能区要求，并</w:t>
            </w:r>
            <w:r w:rsidRPr="00177EED">
              <w:rPr>
                <w:rFonts w:ascii="宋体" w:hAnsi="宋体"/>
                <w:color w:val="000000"/>
                <w:kern w:val="0"/>
                <w:szCs w:val="21"/>
              </w:rPr>
              <w:t>符合《地表水环境质量标准》</w:t>
            </w:r>
            <w:r w:rsidRPr="00177EED">
              <w:rPr>
                <w:rFonts w:ascii="宋体" w:hAnsi="宋体" w:hint="eastAsia"/>
                <w:color w:val="000000"/>
                <w:kern w:val="0"/>
                <w:szCs w:val="21"/>
              </w:rPr>
              <w:t>等</w:t>
            </w:r>
            <w:r w:rsidRPr="00177EED">
              <w:rPr>
                <w:rFonts w:ascii="宋体" w:hAnsi="宋体"/>
                <w:color w:val="000000"/>
                <w:kern w:val="0"/>
                <w:szCs w:val="21"/>
              </w:rPr>
              <w:t>相应要求</w:t>
            </w:r>
          </w:p>
        </w:tc>
        <w:tc>
          <w:tcPr>
            <w:tcW w:w="643" w:type="pct"/>
            <w:tcBorders>
              <w:top w:val="nil"/>
              <w:left w:val="nil"/>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color w:val="000000"/>
                <w:kern w:val="0"/>
                <w:szCs w:val="21"/>
              </w:rPr>
              <w:t>达到环境空气质量标准二级浓度限值</w:t>
            </w:r>
          </w:p>
        </w:tc>
        <w:tc>
          <w:tcPr>
            <w:tcW w:w="735" w:type="pct"/>
            <w:tcBorders>
              <w:top w:val="nil"/>
              <w:left w:val="nil"/>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hint="eastAsia"/>
                <w:color w:val="000000"/>
                <w:kern w:val="0"/>
                <w:szCs w:val="21"/>
              </w:rPr>
              <w:t>达到住宅类用地环境质量标准，满足风险评估目标要求</w:t>
            </w:r>
          </w:p>
        </w:tc>
        <w:tc>
          <w:tcPr>
            <w:tcW w:w="565" w:type="pct"/>
            <w:tcBorders>
              <w:top w:val="nil"/>
              <w:left w:val="nil"/>
              <w:bottom w:val="single" w:sz="4" w:space="0" w:color="auto"/>
              <w:right w:val="single" w:sz="4" w:space="0" w:color="auto"/>
            </w:tcBorders>
            <w:shd w:val="clear" w:color="auto" w:fill="auto"/>
            <w:vAlign w:val="center"/>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hint="eastAsia"/>
                <w:color w:val="000000"/>
                <w:kern w:val="0"/>
                <w:szCs w:val="21"/>
              </w:rPr>
              <w:t>达到</w:t>
            </w:r>
            <w:r w:rsidRPr="00177EED">
              <w:rPr>
                <w:rFonts w:ascii="宋体" w:hAnsi="宋体"/>
                <w:color w:val="000000"/>
                <w:kern w:val="0"/>
                <w:szCs w:val="21"/>
              </w:rPr>
              <w:t>2</w:t>
            </w:r>
            <w:r w:rsidRPr="00177EED">
              <w:rPr>
                <w:rFonts w:ascii="宋体" w:hAnsi="宋体" w:hint="eastAsia"/>
                <w:color w:val="000000"/>
                <w:kern w:val="0"/>
                <w:szCs w:val="21"/>
              </w:rPr>
              <w:t>类声环境质量标准</w:t>
            </w:r>
          </w:p>
        </w:tc>
        <w:tc>
          <w:tcPr>
            <w:tcW w:w="902" w:type="pct"/>
            <w:tcBorders>
              <w:top w:val="nil"/>
              <w:left w:val="nil"/>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color w:val="000000"/>
                <w:kern w:val="0"/>
                <w:szCs w:val="21"/>
              </w:rPr>
              <w:t>保护对区域生态系统服务功能极重要的基础生态用地，加强生态用地连通性</w:t>
            </w:r>
          </w:p>
        </w:tc>
      </w:tr>
      <w:tr w:rsidR="00177EED" w:rsidRPr="00177EED" w:rsidTr="00CE6FD8">
        <w:trPr>
          <w:trHeight w:val="675"/>
        </w:trPr>
        <w:tc>
          <w:tcPr>
            <w:tcW w:w="450" w:type="pct"/>
            <w:vMerge/>
            <w:tcBorders>
              <w:top w:val="nil"/>
              <w:left w:val="single" w:sz="4" w:space="0" w:color="auto"/>
              <w:bottom w:val="single" w:sz="4" w:space="0" w:color="000000"/>
              <w:right w:val="single" w:sz="4" w:space="0" w:color="auto"/>
            </w:tcBorders>
            <w:vAlign w:val="center"/>
            <w:hideMark/>
          </w:tcPr>
          <w:p w:rsidR="00177EED" w:rsidRPr="00177EED" w:rsidRDefault="00177EED" w:rsidP="00177EED">
            <w:pPr>
              <w:widowControl/>
              <w:spacing w:line="276" w:lineRule="auto"/>
              <w:jc w:val="center"/>
              <w:rPr>
                <w:rFonts w:ascii="宋体" w:hAnsi="宋体"/>
                <w:color w:val="000000"/>
                <w:kern w:val="0"/>
                <w:szCs w:val="21"/>
              </w:rPr>
            </w:pPr>
          </w:p>
        </w:tc>
        <w:tc>
          <w:tcPr>
            <w:tcW w:w="328" w:type="pct"/>
            <w:tcBorders>
              <w:top w:val="nil"/>
              <w:left w:val="nil"/>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hint="eastAsia"/>
                <w:color w:val="000000"/>
                <w:kern w:val="0"/>
                <w:szCs w:val="21"/>
              </w:rPr>
              <w:t>聚集</w:t>
            </w:r>
            <w:r w:rsidRPr="00177EED">
              <w:rPr>
                <w:rFonts w:ascii="宋体" w:hAnsi="宋体"/>
                <w:color w:val="000000"/>
                <w:kern w:val="0"/>
                <w:szCs w:val="21"/>
              </w:rPr>
              <w:t>环境</w:t>
            </w:r>
            <w:r w:rsidRPr="00177EED">
              <w:rPr>
                <w:rFonts w:ascii="宋体" w:hAnsi="宋体" w:hint="eastAsia"/>
                <w:color w:val="000000"/>
                <w:kern w:val="0"/>
                <w:szCs w:val="21"/>
              </w:rPr>
              <w:t>维持</w:t>
            </w:r>
            <w:r w:rsidRPr="00177EED">
              <w:rPr>
                <w:rFonts w:ascii="宋体" w:hAnsi="宋体"/>
                <w:color w:val="000000"/>
                <w:kern w:val="0"/>
                <w:szCs w:val="21"/>
              </w:rPr>
              <w:t>亚区</w:t>
            </w:r>
          </w:p>
        </w:tc>
        <w:tc>
          <w:tcPr>
            <w:tcW w:w="652" w:type="pct"/>
            <w:tcBorders>
              <w:top w:val="nil"/>
              <w:left w:val="nil"/>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color w:val="000000"/>
                <w:kern w:val="0"/>
                <w:szCs w:val="21"/>
              </w:rPr>
              <w:t>提供安全、环保的产业发展环境</w:t>
            </w:r>
          </w:p>
        </w:tc>
        <w:tc>
          <w:tcPr>
            <w:tcW w:w="725" w:type="pct"/>
            <w:tcBorders>
              <w:top w:val="nil"/>
              <w:left w:val="nil"/>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hint="eastAsia"/>
                <w:color w:val="000000"/>
                <w:kern w:val="0"/>
                <w:szCs w:val="21"/>
              </w:rPr>
              <w:t>达到水环境功能区要求，并</w:t>
            </w:r>
            <w:r w:rsidRPr="00177EED">
              <w:rPr>
                <w:rFonts w:ascii="宋体" w:hAnsi="宋体"/>
                <w:color w:val="000000"/>
                <w:kern w:val="0"/>
                <w:szCs w:val="21"/>
              </w:rPr>
              <w:t>符合《地表水环境质量标准》</w:t>
            </w:r>
            <w:r w:rsidRPr="00177EED">
              <w:rPr>
                <w:rFonts w:ascii="宋体" w:hAnsi="宋体" w:hint="eastAsia"/>
                <w:color w:val="000000"/>
                <w:kern w:val="0"/>
                <w:szCs w:val="21"/>
              </w:rPr>
              <w:t>等</w:t>
            </w:r>
            <w:r w:rsidRPr="00177EED">
              <w:rPr>
                <w:rFonts w:ascii="宋体" w:hAnsi="宋体"/>
                <w:color w:val="000000"/>
                <w:kern w:val="0"/>
                <w:szCs w:val="21"/>
              </w:rPr>
              <w:t>相应要求</w:t>
            </w:r>
          </w:p>
        </w:tc>
        <w:tc>
          <w:tcPr>
            <w:tcW w:w="643" w:type="pct"/>
            <w:tcBorders>
              <w:top w:val="nil"/>
              <w:left w:val="nil"/>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color w:val="000000"/>
                <w:kern w:val="0"/>
                <w:szCs w:val="21"/>
              </w:rPr>
              <w:t>达到环境空气质量标准二级浓度限值</w:t>
            </w:r>
          </w:p>
        </w:tc>
        <w:tc>
          <w:tcPr>
            <w:tcW w:w="735" w:type="pct"/>
            <w:tcBorders>
              <w:top w:val="nil"/>
              <w:left w:val="nil"/>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hint="eastAsia"/>
                <w:color w:val="000000"/>
                <w:kern w:val="0"/>
                <w:szCs w:val="21"/>
              </w:rPr>
              <w:t>达到工业类用地环境质量标准，满足土壤环境风险评估目标要求</w:t>
            </w:r>
          </w:p>
        </w:tc>
        <w:tc>
          <w:tcPr>
            <w:tcW w:w="565" w:type="pct"/>
            <w:tcBorders>
              <w:top w:val="nil"/>
              <w:left w:val="nil"/>
              <w:bottom w:val="single" w:sz="4" w:space="0" w:color="auto"/>
              <w:right w:val="single" w:sz="4" w:space="0" w:color="auto"/>
            </w:tcBorders>
            <w:shd w:val="clear" w:color="auto" w:fill="auto"/>
            <w:vAlign w:val="center"/>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hint="eastAsia"/>
                <w:color w:val="000000"/>
                <w:kern w:val="0"/>
                <w:szCs w:val="21"/>
              </w:rPr>
              <w:t>优于3类声环境质量标准</w:t>
            </w:r>
          </w:p>
        </w:tc>
        <w:tc>
          <w:tcPr>
            <w:tcW w:w="902" w:type="pct"/>
            <w:tcBorders>
              <w:top w:val="nil"/>
              <w:left w:val="nil"/>
              <w:bottom w:val="single" w:sz="4" w:space="0" w:color="auto"/>
              <w:right w:val="single" w:sz="4" w:space="0" w:color="auto"/>
            </w:tcBorders>
            <w:shd w:val="clear" w:color="auto" w:fill="auto"/>
            <w:vAlign w:val="center"/>
            <w:hideMark/>
          </w:tcPr>
          <w:p w:rsidR="00177EED" w:rsidRPr="00177EED" w:rsidRDefault="00177EED" w:rsidP="00177EED">
            <w:pPr>
              <w:widowControl/>
              <w:spacing w:line="276" w:lineRule="auto"/>
              <w:jc w:val="center"/>
              <w:rPr>
                <w:rFonts w:ascii="宋体" w:hAnsi="宋体"/>
                <w:color w:val="000000"/>
                <w:kern w:val="0"/>
                <w:szCs w:val="21"/>
              </w:rPr>
            </w:pPr>
            <w:r w:rsidRPr="00177EED">
              <w:rPr>
                <w:rFonts w:ascii="宋体" w:hAnsi="宋体"/>
                <w:color w:val="000000"/>
                <w:kern w:val="0"/>
                <w:szCs w:val="21"/>
              </w:rPr>
              <w:t>保护对区域生态系统服务功能极重要的基础生态用地，加强生态用地连通性</w:t>
            </w:r>
          </w:p>
        </w:tc>
      </w:tr>
    </w:tbl>
    <w:p w:rsidR="00177EED" w:rsidRPr="00177EED" w:rsidRDefault="00177EED" w:rsidP="00177EED">
      <w:pPr>
        <w:widowControl/>
        <w:spacing w:beforeLines="50" w:before="156" w:afterLines="50" w:after="156"/>
        <w:rPr>
          <w:rFonts w:ascii="宋体" w:hAnsi="宋体" w:cs="宋体"/>
          <w:b/>
          <w:color w:val="000000"/>
          <w:kern w:val="0"/>
          <w:sz w:val="24"/>
        </w:rPr>
      </w:pPr>
    </w:p>
    <w:p w:rsidR="00177EED" w:rsidRPr="00177EED" w:rsidRDefault="00177EED" w:rsidP="00177EED">
      <w:pPr>
        <w:widowControl/>
        <w:numPr>
          <w:ilvl w:val="1"/>
          <w:numId w:val="2"/>
        </w:numPr>
        <w:spacing w:beforeLines="50" w:before="156" w:afterLines="50" w:after="156" w:line="276" w:lineRule="auto"/>
        <w:ind w:firstLineChars="200" w:firstLine="482"/>
        <w:jc w:val="center"/>
        <w:rPr>
          <w:rFonts w:ascii="宋体" w:hAnsi="宋体" w:cs="宋体"/>
          <w:b/>
          <w:color w:val="000000"/>
          <w:kern w:val="0"/>
          <w:sz w:val="24"/>
        </w:rPr>
      </w:pPr>
      <w:r w:rsidRPr="00177EED">
        <w:rPr>
          <w:rFonts w:ascii="宋体" w:hAnsi="宋体" w:cs="宋体"/>
          <w:b/>
          <w:color w:val="000000"/>
          <w:kern w:val="0"/>
          <w:sz w:val="24"/>
        </w:rPr>
        <w:br w:type="column"/>
      </w:r>
      <w:r w:rsidRPr="00177EED">
        <w:rPr>
          <w:rFonts w:ascii="宋体" w:hAnsi="宋体" w:cs="宋体" w:hint="eastAsia"/>
          <w:b/>
          <w:color w:val="000000"/>
          <w:kern w:val="0"/>
          <w:sz w:val="24"/>
        </w:rPr>
        <w:lastRenderedPageBreak/>
        <w:t>环境功能区环境管控措施一览表</w:t>
      </w:r>
    </w:p>
    <w:tbl>
      <w:tblPr>
        <w:tblW w:w="5000" w:type="pct"/>
        <w:tblLook w:val="04A0" w:firstRow="1" w:lastRow="0" w:firstColumn="1" w:lastColumn="0" w:noHBand="0" w:noVBand="1"/>
      </w:tblPr>
      <w:tblGrid>
        <w:gridCol w:w="704"/>
        <w:gridCol w:w="1070"/>
        <w:gridCol w:w="6517"/>
      </w:tblGrid>
      <w:tr w:rsidR="00177EED" w:rsidRPr="00177EED" w:rsidTr="00CE3107">
        <w:trPr>
          <w:trHeight w:val="748"/>
          <w:tblHeader/>
        </w:trPr>
        <w:tc>
          <w:tcPr>
            <w:tcW w:w="42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7EED" w:rsidRPr="00177EED" w:rsidRDefault="00177EED" w:rsidP="00177EED">
            <w:pPr>
              <w:jc w:val="center"/>
              <w:rPr>
                <w:rFonts w:ascii="宋体" w:hAnsi="宋体"/>
                <w:color w:val="000000"/>
                <w:szCs w:val="21"/>
              </w:rPr>
            </w:pPr>
            <w:r w:rsidRPr="00177EED">
              <w:rPr>
                <w:rFonts w:ascii="宋体" w:hAnsi="宋体"/>
                <w:color w:val="000000"/>
                <w:szCs w:val="21"/>
              </w:rPr>
              <w:t>类型区</w:t>
            </w:r>
          </w:p>
        </w:tc>
        <w:tc>
          <w:tcPr>
            <w:tcW w:w="645" w:type="pct"/>
            <w:tcBorders>
              <w:top w:val="single" w:sz="8" w:space="0" w:color="000000"/>
              <w:left w:val="single" w:sz="8" w:space="0" w:color="000000"/>
              <w:bottom w:val="single" w:sz="8" w:space="0" w:color="000000"/>
              <w:right w:val="single" w:sz="4" w:space="0" w:color="auto"/>
            </w:tcBorders>
            <w:shd w:val="clear" w:color="auto" w:fill="auto"/>
            <w:vAlign w:val="center"/>
            <w:hideMark/>
          </w:tcPr>
          <w:p w:rsidR="00177EED" w:rsidRPr="00177EED" w:rsidRDefault="00177EED" w:rsidP="00177EED">
            <w:pPr>
              <w:jc w:val="center"/>
              <w:rPr>
                <w:rFonts w:ascii="宋体" w:hAnsi="宋体"/>
                <w:color w:val="000000"/>
                <w:szCs w:val="21"/>
              </w:rPr>
            </w:pPr>
            <w:r w:rsidRPr="00177EED">
              <w:rPr>
                <w:rFonts w:ascii="宋体" w:hAnsi="宋体"/>
                <w:color w:val="000000"/>
                <w:szCs w:val="21"/>
              </w:rPr>
              <w:t>环境功能亚区</w:t>
            </w:r>
          </w:p>
        </w:tc>
        <w:tc>
          <w:tcPr>
            <w:tcW w:w="3930" w:type="pct"/>
            <w:tcBorders>
              <w:top w:val="single" w:sz="4" w:space="0" w:color="auto"/>
              <w:left w:val="single" w:sz="4" w:space="0" w:color="auto"/>
              <w:bottom w:val="single" w:sz="4" w:space="0" w:color="auto"/>
              <w:right w:val="single" w:sz="4" w:space="0" w:color="auto"/>
            </w:tcBorders>
            <w:vAlign w:val="center"/>
          </w:tcPr>
          <w:p w:rsidR="00177EED" w:rsidRPr="00177EED" w:rsidRDefault="00177EED" w:rsidP="00177EED">
            <w:pPr>
              <w:jc w:val="center"/>
              <w:rPr>
                <w:rFonts w:ascii="宋体" w:hAnsi="宋体"/>
                <w:color w:val="000000"/>
                <w:szCs w:val="21"/>
              </w:rPr>
            </w:pPr>
            <w:r w:rsidRPr="00177EED">
              <w:rPr>
                <w:rFonts w:ascii="宋体" w:hAnsi="宋体" w:hint="eastAsia"/>
                <w:color w:val="000000"/>
                <w:szCs w:val="21"/>
              </w:rPr>
              <w:t>管控措施</w:t>
            </w:r>
          </w:p>
        </w:tc>
      </w:tr>
      <w:tr w:rsidR="00177EED" w:rsidRPr="00177EED" w:rsidTr="00CE3107">
        <w:trPr>
          <w:trHeight w:val="623"/>
        </w:trPr>
        <w:tc>
          <w:tcPr>
            <w:tcW w:w="425" w:type="pct"/>
            <w:tcBorders>
              <w:top w:val="nil"/>
              <w:left w:val="single" w:sz="8" w:space="0" w:color="000000"/>
              <w:bottom w:val="single" w:sz="8" w:space="0" w:color="000000"/>
              <w:right w:val="single" w:sz="8" w:space="0" w:color="000000"/>
            </w:tcBorders>
            <w:shd w:val="clear" w:color="auto" w:fill="auto"/>
            <w:vAlign w:val="center"/>
            <w:hideMark/>
          </w:tcPr>
          <w:p w:rsidR="00177EED" w:rsidRPr="00177EED" w:rsidRDefault="00177EED" w:rsidP="00177EED">
            <w:pPr>
              <w:jc w:val="center"/>
              <w:rPr>
                <w:rFonts w:ascii="宋体" w:hAnsi="宋体"/>
                <w:color w:val="000000"/>
                <w:szCs w:val="21"/>
              </w:rPr>
            </w:pPr>
            <w:r w:rsidRPr="00177EED">
              <w:rPr>
                <w:rFonts w:ascii="宋体" w:hAnsi="宋体"/>
                <w:color w:val="000000"/>
                <w:szCs w:val="21"/>
              </w:rPr>
              <w:t>I自然生态保留区</w:t>
            </w:r>
          </w:p>
        </w:tc>
        <w:tc>
          <w:tcPr>
            <w:tcW w:w="645" w:type="pct"/>
            <w:tcBorders>
              <w:top w:val="nil"/>
              <w:left w:val="nil"/>
              <w:bottom w:val="single" w:sz="8" w:space="0" w:color="000000"/>
              <w:right w:val="single" w:sz="8" w:space="0" w:color="000000"/>
            </w:tcBorders>
            <w:shd w:val="clear" w:color="auto" w:fill="auto"/>
            <w:vAlign w:val="center"/>
            <w:hideMark/>
          </w:tcPr>
          <w:p w:rsidR="00177EED" w:rsidRPr="00177EED" w:rsidRDefault="00177EED" w:rsidP="00177EED">
            <w:pPr>
              <w:jc w:val="center"/>
              <w:rPr>
                <w:rFonts w:ascii="宋体" w:hAnsi="宋体"/>
                <w:color w:val="000000"/>
                <w:szCs w:val="21"/>
              </w:rPr>
            </w:pPr>
            <w:r w:rsidRPr="00177EED">
              <w:rPr>
                <w:rFonts w:ascii="宋体" w:hAnsi="宋体"/>
                <w:color w:val="000000"/>
                <w:szCs w:val="21"/>
              </w:rPr>
              <w:t>—</w:t>
            </w:r>
          </w:p>
        </w:tc>
        <w:tc>
          <w:tcPr>
            <w:tcW w:w="3930" w:type="pct"/>
            <w:tcBorders>
              <w:top w:val="single" w:sz="4" w:space="0" w:color="auto"/>
              <w:left w:val="nil"/>
              <w:bottom w:val="single" w:sz="8" w:space="0" w:color="000000"/>
              <w:right w:val="single" w:sz="8" w:space="0" w:color="000000"/>
            </w:tcBorders>
          </w:tcPr>
          <w:p w:rsidR="00177EED" w:rsidRPr="00177EED" w:rsidRDefault="00177EED" w:rsidP="00177EED">
            <w:pPr>
              <w:jc w:val="left"/>
              <w:rPr>
                <w:rFonts w:ascii="宋体" w:hAnsi="宋体"/>
                <w:color w:val="000000"/>
                <w:szCs w:val="21"/>
              </w:rPr>
            </w:pPr>
            <w:r w:rsidRPr="00177EED">
              <w:rPr>
                <w:rFonts w:ascii="宋体" w:hAnsi="宋体" w:hint="eastAsia"/>
                <w:color w:val="000000"/>
                <w:szCs w:val="21"/>
              </w:rPr>
              <w:t>1.严格按照《中华人民共和国自然保护区条例》进行保护和管控；</w:t>
            </w:r>
          </w:p>
          <w:p w:rsidR="00177EED" w:rsidRPr="00177EED" w:rsidRDefault="00177EED" w:rsidP="00177EED">
            <w:pPr>
              <w:jc w:val="left"/>
              <w:rPr>
                <w:rFonts w:ascii="宋体" w:hAnsi="宋体"/>
                <w:color w:val="000000"/>
                <w:szCs w:val="21"/>
              </w:rPr>
            </w:pPr>
            <w:r w:rsidRPr="00177EED">
              <w:rPr>
                <w:rFonts w:ascii="宋体" w:hAnsi="宋体" w:hint="eastAsia"/>
                <w:color w:val="000000"/>
                <w:szCs w:val="21"/>
              </w:rPr>
              <w:t>2.禁止一切工业项目进入；</w:t>
            </w:r>
          </w:p>
          <w:p w:rsidR="00177EED" w:rsidRPr="00177EED" w:rsidRDefault="00177EED" w:rsidP="00177EED">
            <w:pPr>
              <w:jc w:val="left"/>
              <w:rPr>
                <w:rFonts w:ascii="宋体" w:hAnsi="宋体"/>
                <w:color w:val="000000"/>
                <w:szCs w:val="21"/>
              </w:rPr>
            </w:pPr>
            <w:r w:rsidRPr="00177EED">
              <w:rPr>
                <w:rFonts w:ascii="宋体" w:hAnsi="宋体" w:hint="eastAsia"/>
                <w:color w:val="000000"/>
                <w:szCs w:val="21"/>
              </w:rPr>
              <w:t>3</w:t>
            </w:r>
            <w:r w:rsidRPr="00177EED">
              <w:rPr>
                <w:rFonts w:ascii="宋体" w:hAnsi="宋体"/>
                <w:color w:val="000000"/>
                <w:szCs w:val="21"/>
              </w:rPr>
              <w:t>.</w:t>
            </w:r>
            <w:r w:rsidRPr="00177EED">
              <w:rPr>
                <w:rFonts w:ascii="宋体" w:hAnsi="宋体" w:hint="eastAsia"/>
                <w:color w:val="000000"/>
                <w:szCs w:val="21"/>
              </w:rPr>
              <w:t>禁止畜禽养殖；</w:t>
            </w:r>
          </w:p>
          <w:p w:rsidR="00177EED" w:rsidRPr="00177EED" w:rsidRDefault="00177EED" w:rsidP="00177EED">
            <w:pPr>
              <w:jc w:val="left"/>
              <w:rPr>
                <w:rFonts w:ascii="宋体" w:hAnsi="宋体"/>
                <w:color w:val="000000"/>
                <w:szCs w:val="21"/>
              </w:rPr>
            </w:pPr>
            <w:r w:rsidRPr="00177EED">
              <w:rPr>
                <w:rFonts w:ascii="宋体" w:hAnsi="宋体" w:hint="eastAsia"/>
                <w:color w:val="000000"/>
                <w:szCs w:val="21"/>
              </w:rPr>
              <w:t>4.禁止建设其它不符合保护区法律法规和规划的项目，现有的应限期改正或关闭</w:t>
            </w:r>
            <w:r w:rsidR="00735AF7">
              <w:rPr>
                <w:rFonts w:ascii="宋体" w:hAnsi="宋体" w:hint="eastAsia"/>
                <w:color w:val="000000"/>
                <w:szCs w:val="21"/>
              </w:rPr>
              <w:t>。</w:t>
            </w:r>
          </w:p>
        </w:tc>
      </w:tr>
      <w:tr w:rsidR="00177EED" w:rsidRPr="00177EED" w:rsidTr="00CE3107">
        <w:trPr>
          <w:trHeight w:val="3100"/>
        </w:trPr>
        <w:tc>
          <w:tcPr>
            <w:tcW w:w="425" w:type="pct"/>
            <w:tcBorders>
              <w:top w:val="single" w:sz="8" w:space="0" w:color="000000"/>
              <w:left w:val="single" w:sz="8" w:space="0" w:color="000000"/>
              <w:bottom w:val="single" w:sz="4" w:space="0" w:color="auto"/>
              <w:right w:val="single" w:sz="8" w:space="0" w:color="000000"/>
            </w:tcBorders>
            <w:shd w:val="clear" w:color="auto" w:fill="auto"/>
            <w:vAlign w:val="center"/>
          </w:tcPr>
          <w:p w:rsidR="00177EED" w:rsidRPr="00177EED" w:rsidRDefault="00177EED" w:rsidP="00177EED">
            <w:pPr>
              <w:jc w:val="center"/>
              <w:rPr>
                <w:rFonts w:ascii="宋体" w:hAnsi="宋体"/>
                <w:color w:val="000000"/>
                <w:szCs w:val="21"/>
              </w:rPr>
            </w:pPr>
            <w:r w:rsidRPr="00177EED">
              <w:rPr>
                <w:rFonts w:ascii="宋体" w:hAnsi="宋体"/>
                <w:color w:val="000000"/>
                <w:szCs w:val="21"/>
              </w:rPr>
              <w:t>II生态功能</w:t>
            </w:r>
            <w:r w:rsidRPr="00177EED">
              <w:rPr>
                <w:rFonts w:ascii="宋体" w:hAnsi="宋体" w:hint="eastAsia"/>
                <w:color w:val="000000"/>
                <w:szCs w:val="21"/>
              </w:rPr>
              <w:t>调节</w:t>
            </w:r>
            <w:r w:rsidRPr="00177EED">
              <w:rPr>
                <w:rFonts w:ascii="宋体" w:hAnsi="宋体"/>
                <w:color w:val="000000"/>
                <w:szCs w:val="21"/>
              </w:rPr>
              <w:t>区</w:t>
            </w:r>
          </w:p>
        </w:tc>
        <w:tc>
          <w:tcPr>
            <w:tcW w:w="645" w:type="pct"/>
            <w:tcBorders>
              <w:top w:val="single" w:sz="8" w:space="0" w:color="000000"/>
              <w:left w:val="nil"/>
              <w:bottom w:val="single" w:sz="4" w:space="0" w:color="auto"/>
              <w:right w:val="single" w:sz="8" w:space="0" w:color="000000"/>
            </w:tcBorders>
            <w:shd w:val="clear" w:color="auto" w:fill="auto"/>
            <w:vAlign w:val="center"/>
          </w:tcPr>
          <w:p w:rsidR="00177EED" w:rsidRPr="00177EED" w:rsidRDefault="00177EED" w:rsidP="00177EED">
            <w:pPr>
              <w:jc w:val="center"/>
              <w:rPr>
                <w:rFonts w:ascii="宋体" w:hAnsi="宋体"/>
                <w:color w:val="000000"/>
                <w:szCs w:val="21"/>
              </w:rPr>
            </w:pPr>
            <w:r w:rsidRPr="00177EED">
              <w:rPr>
                <w:rFonts w:ascii="宋体" w:hAnsi="宋体"/>
                <w:color w:val="000000"/>
                <w:szCs w:val="21"/>
              </w:rPr>
              <w:t>—</w:t>
            </w:r>
          </w:p>
        </w:tc>
        <w:tc>
          <w:tcPr>
            <w:tcW w:w="3930" w:type="pct"/>
            <w:tcBorders>
              <w:top w:val="single" w:sz="8" w:space="0" w:color="000000"/>
              <w:left w:val="nil"/>
              <w:bottom w:val="single" w:sz="4" w:space="0" w:color="auto"/>
              <w:right w:val="single" w:sz="8" w:space="0" w:color="000000"/>
            </w:tcBorders>
          </w:tcPr>
          <w:p w:rsidR="00177EED" w:rsidRPr="00177EED" w:rsidRDefault="00177EED" w:rsidP="00177EED">
            <w:pPr>
              <w:jc w:val="left"/>
              <w:rPr>
                <w:rFonts w:ascii="宋体" w:hAnsi="宋体"/>
                <w:color w:val="000000"/>
                <w:szCs w:val="21"/>
              </w:rPr>
            </w:pPr>
            <w:r w:rsidRPr="00177EED">
              <w:rPr>
                <w:rFonts w:ascii="宋体" w:hAnsi="宋体" w:hint="eastAsia"/>
                <w:color w:val="000000"/>
                <w:szCs w:val="21"/>
              </w:rPr>
              <w:t>1、禁止新建、扩建、改建二类、三类工业项目，现有三类工业项目限期搬迁关闭，现有二类工业项目应逐步退出（矿产资源点状开发加工利用除外）；</w:t>
            </w:r>
          </w:p>
          <w:p w:rsidR="00177EED" w:rsidRPr="00177EED" w:rsidRDefault="00177EED" w:rsidP="00177EED">
            <w:pPr>
              <w:jc w:val="left"/>
              <w:rPr>
                <w:rFonts w:ascii="宋体" w:hAnsi="宋体"/>
                <w:color w:val="000000"/>
                <w:szCs w:val="21"/>
              </w:rPr>
            </w:pPr>
            <w:r w:rsidRPr="00177EED">
              <w:rPr>
                <w:rFonts w:ascii="宋体" w:hAnsi="宋体" w:hint="eastAsia"/>
                <w:color w:val="000000"/>
                <w:szCs w:val="21"/>
              </w:rPr>
              <w:t>2、严格实施畜禽养殖禁养区、限养区规定，控制规模化畜禽养殖项目规模；</w:t>
            </w:r>
          </w:p>
          <w:p w:rsidR="00177EED" w:rsidRPr="00177EED" w:rsidRDefault="00177EED" w:rsidP="00177EED">
            <w:pPr>
              <w:jc w:val="left"/>
              <w:rPr>
                <w:rFonts w:ascii="宋体" w:hAnsi="宋体"/>
                <w:color w:val="000000"/>
                <w:szCs w:val="21"/>
              </w:rPr>
            </w:pPr>
            <w:r w:rsidRPr="00177EED">
              <w:rPr>
                <w:rFonts w:ascii="宋体" w:hAnsi="宋体" w:hint="eastAsia"/>
                <w:color w:val="000000"/>
                <w:szCs w:val="21"/>
              </w:rPr>
              <w:t>3、禁止在主要河流两岸、干线公路两侧进行采石、取土、采砂等活动；</w:t>
            </w:r>
          </w:p>
          <w:p w:rsidR="00177EED" w:rsidRPr="00177EED" w:rsidRDefault="00177EED" w:rsidP="00177EED">
            <w:pPr>
              <w:jc w:val="left"/>
              <w:rPr>
                <w:rFonts w:ascii="宋体" w:hAnsi="宋体"/>
                <w:color w:val="000000"/>
                <w:szCs w:val="21"/>
              </w:rPr>
            </w:pPr>
            <w:r w:rsidRPr="00177EED">
              <w:rPr>
                <w:rFonts w:ascii="宋体" w:hAnsi="宋体" w:hint="eastAsia"/>
                <w:color w:val="000000"/>
                <w:szCs w:val="21"/>
              </w:rPr>
              <w:t>4、禁止任何形式的毁林、开荒等破坏植被的行为，加强生态公益林保护与建设，提升区域水源涵养和水土保持功能；</w:t>
            </w:r>
          </w:p>
          <w:p w:rsidR="00177EED" w:rsidRPr="00177EED" w:rsidRDefault="00177EED" w:rsidP="00177EED">
            <w:pPr>
              <w:jc w:val="left"/>
              <w:rPr>
                <w:rFonts w:ascii="宋体" w:hAnsi="宋体"/>
                <w:color w:val="000000"/>
                <w:szCs w:val="21"/>
              </w:rPr>
            </w:pPr>
            <w:r w:rsidRPr="00177EED">
              <w:rPr>
                <w:rFonts w:ascii="宋体" w:hAnsi="宋体" w:hint="eastAsia"/>
                <w:color w:val="000000"/>
                <w:szCs w:val="21"/>
              </w:rPr>
              <w:t>5、禁止侵占水面行为，保护好河湖湿地，最大限度保留原有自然生态系统；</w:t>
            </w:r>
          </w:p>
          <w:p w:rsidR="00177EED" w:rsidRPr="00177EED" w:rsidRDefault="00177EED" w:rsidP="00177EED">
            <w:pPr>
              <w:jc w:val="left"/>
              <w:rPr>
                <w:rFonts w:ascii="宋体" w:hAnsi="宋体"/>
                <w:color w:val="000000"/>
                <w:szCs w:val="21"/>
              </w:rPr>
            </w:pPr>
            <w:r w:rsidRPr="00177EED">
              <w:rPr>
                <w:rFonts w:ascii="宋体" w:hAnsi="宋体" w:hint="eastAsia"/>
                <w:color w:val="000000"/>
                <w:szCs w:val="21"/>
              </w:rPr>
              <w:t>6、禁止除生态护岸建设以外的堤岸改造作业；</w:t>
            </w:r>
          </w:p>
          <w:p w:rsidR="00177EED" w:rsidRPr="00177EED" w:rsidRDefault="00177EED" w:rsidP="00177EED">
            <w:pPr>
              <w:jc w:val="left"/>
              <w:rPr>
                <w:rFonts w:ascii="宋体" w:hAnsi="宋体"/>
                <w:color w:val="000000"/>
                <w:szCs w:val="21"/>
              </w:rPr>
            </w:pPr>
            <w:r w:rsidRPr="00177EED">
              <w:rPr>
                <w:rFonts w:ascii="宋体" w:hAnsi="宋体" w:hint="eastAsia"/>
                <w:color w:val="000000"/>
                <w:szCs w:val="21"/>
              </w:rPr>
              <w:t>7、禁止新建入河（或湖或海）排污口，现有的入河（或湖或海）排污口应限期纳管（平原河网地区）。</w:t>
            </w:r>
          </w:p>
        </w:tc>
      </w:tr>
      <w:tr w:rsidR="00177EED" w:rsidRPr="00177EED" w:rsidTr="00CE3107">
        <w:trPr>
          <w:trHeight w:val="1184"/>
        </w:trPr>
        <w:tc>
          <w:tcPr>
            <w:tcW w:w="425" w:type="pct"/>
            <w:tcBorders>
              <w:top w:val="single" w:sz="4" w:space="0" w:color="auto"/>
              <w:left w:val="single" w:sz="8" w:space="0" w:color="000000"/>
              <w:bottom w:val="single" w:sz="8" w:space="0" w:color="000000"/>
              <w:right w:val="single" w:sz="4" w:space="0" w:color="000000"/>
            </w:tcBorders>
            <w:shd w:val="clear" w:color="auto" w:fill="auto"/>
            <w:vAlign w:val="center"/>
            <w:hideMark/>
          </w:tcPr>
          <w:p w:rsidR="00177EED" w:rsidRPr="00177EED" w:rsidRDefault="00177EED" w:rsidP="00177EED">
            <w:pPr>
              <w:jc w:val="center"/>
              <w:rPr>
                <w:rFonts w:ascii="宋体" w:hAnsi="宋体"/>
                <w:color w:val="000000"/>
                <w:szCs w:val="21"/>
              </w:rPr>
            </w:pPr>
            <w:r w:rsidRPr="00177EED">
              <w:rPr>
                <w:rFonts w:ascii="宋体" w:hAnsi="宋体"/>
                <w:color w:val="000000"/>
                <w:szCs w:val="21"/>
              </w:rPr>
              <w:t>III食物环境安全保障区</w:t>
            </w:r>
          </w:p>
        </w:tc>
        <w:tc>
          <w:tcPr>
            <w:tcW w:w="645"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177EED" w:rsidRPr="00177EED" w:rsidRDefault="00177EED" w:rsidP="00177EED">
            <w:pPr>
              <w:jc w:val="center"/>
              <w:rPr>
                <w:rFonts w:ascii="宋体" w:hAnsi="宋体"/>
                <w:color w:val="000000"/>
                <w:szCs w:val="21"/>
              </w:rPr>
            </w:pPr>
            <w:r w:rsidRPr="00177EED">
              <w:rPr>
                <w:rFonts w:ascii="宋体" w:hAnsi="宋体"/>
                <w:color w:val="000000"/>
                <w:szCs w:val="21"/>
              </w:rPr>
              <w:t>—</w:t>
            </w:r>
          </w:p>
        </w:tc>
        <w:tc>
          <w:tcPr>
            <w:tcW w:w="3930" w:type="pct"/>
            <w:tcBorders>
              <w:top w:val="single" w:sz="4" w:space="0" w:color="auto"/>
              <w:left w:val="single" w:sz="4" w:space="0" w:color="000000"/>
              <w:bottom w:val="single" w:sz="4" w:space="0" w:color="000000"/>
              <w:right w:val="single" w:sz="4" w:space="0" w:color="000000"/>
            </w:tcBorders>
          </w:tcPr>
          <w:p w:rsidR="00177EED" w:rsidRPr="00177EED" w:rsidRDefault="00177EED" w:rsidP="00177EED">
            <w:pPr>
              <w:jc w:val="left"/>
              <w:rPr>
                <w:rFonts w:ascii="宋体" w:hAnsi="宋体"/>
                <w:color w:val="000000"/>
                <w:szCs w:val="21"/>
              </w:rPr>
            </w:pPr>
            <w:r w:rsidRPr="00177EED">
              <w:rPr>
                <w:rFonts w:ascii="宋体" w:hAnsi="宋体" w:hint="eastAsia"/>
                <w:color w:val="000000"/>
                <w:szCs w:val="21"/>
              </w:rPr>
              <w:t>1、禁止新建、扩建、改建三类工业项目和涉及重金属、持久性有机污染物排放的二类工业项目，现有的要限期关闭搬迁；集镇工业集聚点外禁止二类工业项目；</w:t>
            </w:r>
          </w:p>
          <w:p w:rsidR="00177EED" w:rsidRPr="00177EED" w:rsidRDefault="00177EED" w:rsidP="00177EED">
            <w:pPr>
              <w:jc w:val="left"/>
              <w:rPr>
                <w:rFonts w:ascii="宋体" w:hAnsi="宋体"/>
                <w:color w:val="000000"/>
                <w:szCs w:val="21"/>
              </w:rPr>
            </w:pPr>
            <w:r w:rsidRPr="00177EED">
              <w:rPr>
                <w:rFonts w:ascii="宋体" w:hAnsi="宋体" w:hint="eastAsia"/>
                <w:color w:val="000000"/>
                <w:szCs w:val="21"/>
              </w:rPr>
              <w:t>2、严格实施畜禽养殖禁养区、限养区规定，控制规模化畜禽养殖项目规模；</w:t>
            </w:r>
          </w:p>
          <w:p w:rsidR="00177EED" w:rsidRPr="00177EED" w:rsidRDefault="00177EED" w:rsidP="00177EED">
            <w:pPr>
              <w:jc w:val="left"/>
              <w:rPr>
                <w:rFonts w:ascii="宋体" w:hAnsi="宋体"/>
                <w:color w:val="000000"/>
                <w:szCs w:val="21"/>
              </w:rPr>
            </w:pPr>
            <w:r w:rsidRPr="00177EED">
              <w:rPr>
                <w:rFonts w:ascii="宋体" w:hAnsi="宋体" w:hint="eastAsia"/>
                <w:color w:val="000000"/>
                <w:szCs w:val="21"/>
              </w:rPr>
              <w:t>3、严格限制非生态型河湖岸工程建设；</w:t>
            </w:r>
          </w:p>
          <w:p w:rsidR="00177EED" w:rsidRPr="00177EED" w:rsidRDefault="00177EED" w:rsidP="00177EED">
            <w:pPr>
              <w:jc w:val="left"/>
              <w:rPr>
                <w:rFonts w:ascii="宋体" w:hAnsi="宋体"/>
                <w:color w:val="000000"/>
                <w:szCs w:val="21"/>
              </w:rPr>
            </w:pPr>
            <w:r w:rsidRPr="00177EED">
              <w:rPr>
                <w:rFonts w:ascii="宋体" w:hAnsi="宋体" w:hint="eastAsia"/>
                <w:color w:val="000000"/>
                <w:szCs w:val="21"/>
              </w:rPr>
              <w:t>4、严格控制化肥农药施用量。</w:t>
            </w:r>
          </w:p>
        </w:tc>
      </w:tr>
      <w:tr w:rsidR="00177EED" w:rsidRPr="00177EED" w:rsidTr="00CE3107">
        <w:trPr>
          <w:trHeight w:val="302"/>
        </w:trPr>
        <w:tc>
          <w:tcPr>
            <w:tcW w:w="42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177EED" w:rsidRPr="00177EED" w:rsidRDefault="00177EED" w:rsidP="00177EED">
            <w:pPr>
              <w:jc w:val="center"/>
              <w:rPr>
                <w:rFonts w:ascii="宋体" w:hAnsi="宋体"/>
                <w:color w:val="000000"/>
                <w:szCs w:val="21"/>
              </w:rPr>
            </w:pPr>
            <w:r w:rsidRPr="00177EED">
              <w:rPr>
                <w:rFonts w:ascii="宋体" w:hAnsi="宋体"/>
                <w:color w:val="000000"/>
                <w:szCs w:val="21"/>
              </w:rPr>
              <w:t>IV聚居</w:t>
            </w:r>
            <w:r w:rsidRPr="00177EED">
              <w:rPr>
                <w:rFonts w:ascii="宋体" w:hAnsi="宋体" w:hint="eastAsia"/>
                <w:color w:val="000000"/>
                <w:szCs w:val="21"/>
              </w:rPr>
              <w:t>发展</w:t>
            </w:r>
            <w:r w:rsidRPr="00177EED">
              <w:rPr>
                <w:rFonts w:ascii="宋体" w:hAnsi="宋体"/>
                <w:color w:val="000000"/>
                <w:szCs w:val="21"/>
              </w:rPr>
              <w:t>维护区</w:t>
            </w:r>
          </w:p>
        </w:tc>
        <w:tc>
          <w:tcPr>
            <w:tcW w:w="645" w:type="pct"/>
            <w:tcBorders>
              <w:top w:val="single" w:sz="4" w:space="0" w:color="000000"/>
              <w:left w:val="nil"/>
              <w:bottom w:val="single" w:sz="8" w:space="0" w:color="000000"/>
              <w:right w:val="single" w:sz="8" w:space="0" w:color="000000"/>
            </w:tcBorders>
            <w:shd w:val="clear" w:color="auto" w:fill="auto"/>
            <w:vAlign w:val="center"/>
            <w:hideMark/>
          </w:tcPr>
          <w:p w:rsidR="00177EED" w:rsidRPr="00177EED" w:rsidRDefault="00177EED" w:rsidP="00177EED">
            <w:pPr>
              <w:jc w:val="center"/>
              <w:rPr>
                <w:rFonts w:ascii="宋体" w:hAnsi="宋体"/>
                <w:color w:val="000000"/>
                <w:szCs w:val="21"/>
              </w:rPr>
            </w:pPr>
            <w:r w:rsidRPr="00177EED">
              <w:rPr>
                <w:rFonts w:ascii="宋体" w:hAnsi="宋体"/>
                <w:color w:val="000000"/>
                <w:szCs w:val="21"/>
              </w:rPr>
              <w:t>环境优化亚区</w:t>
            </w:r>
          </w:p>
        </w:tc>
        <w:tc>
          <w:tcPr>
            <w:tcW w:w="3930" w:type="pct"/>
            <w:tcBorders>
              <w:top w:val="single" w:sz="4" w:space="0" w:color="000000"/>
              <w:left w:val="nil"/>
              <w:bottom w:val="single" w:sz="8" w:space="0" w:color="000000"/>
              <w:right w:val="single" w:sz="8" w:space="0" w:color="000000"/>
            </w:tcBorders>
          </w:tcPr>
          <w:p w:rsidR="00177EED" w:rsidRPr="00177EED" w:rsidRDefault="00177EED" w:rsidP="00177EED">
            <w:pPr>
              <w:jc w:val="left"/>
              <w:rPr>
                <w:rFonts w:ascii="宋体" w:hAnsi="宋体"/>
                <w:color w:val="000000"/>
                <w:szCs w:val="21"/>
              </w:rPr>
            </w:pPr>
            <w:r w:rsidRPr="00177EED">
              <w:rPr>
                <w:rFonts w:ascii="宋体" w:hAnsi="宋体" w:hint="eastAsia"/>
                <w:color w:val="000000"/>
                <w:szCs w:val="21"/>
              </w:rPr>
              <w:t>1、禁止新建、扩建、改建二类、三类工业项目，现有三类工业项目限期搬迁关闭，现有二类工业项目应逐步退出；</w:t>
            </w:r>
          </w:p>
          <w:p w:rsidR="00177EED" w:rsidRPr="00177EED" w:rsidRDefault="00177EED" w:rsidP="00177EED">
            <w:pPr>
              <w:jc w:val="left"/>
              <w:rPr>
                <w:rFonts w:ascii="宋体" w:hAnsi="宋体"/>
                <w:color w:val="000000"/>
                <w:szCs w:val="21"/>
              </w:rPr>
            </w:pPr>
            <w:r w:rsidRPr="00177EED">
              <w:rPr>
                <w:rFonts w:ascii="宋体" w:hAnsi="宋体" w:hint="eastAsia"/>
                <w:color w:val="000000"/>
                <w:szCs w:val="21"/>
              </w:rPr>
              <w:t>2、禁止畜禽养殖；</w:t>
            </w:r>
          </w:p>
          <w:p w:rsidR="00177EED" w:rsidRPr="00177EED" w:rsidRDefault="00177EED" w:rsidP="00177EED">
            <w:pPr>
              <w:jc w:val="left"/>
              <w:rPr>
                <w:rFonts w:ascii="宋体" w:hAnsi="宋体"/>
                <w:color w:val="000000"/>
                <w:szCs w:val="21"/>
              </w:rPr>
            </w:pPr>
            <w:r w:rsidRPr="00177EED">
              <w:rPr>
                <w:rFonts w:ascii="宋体" w:hAnsi="宋体" w:hint="eastAsia"/>
                <w:color w:val="000000"/>
                <w:szCs w:val="21"/>
              </w:rPr>
              <w:t>3、禁止新建入河排污口，现有的入河排污口应限期纳管；</w:t>
            </w:r>
          </w:p>
          <w:p w:rsidR="00177EED" w:rsidRPr="00177EED" w:rsidRDefault="00177EED" w:rsidP="00177EED">
            <w:pPr>
              <w:jc w:val="left"/>
              <w:rPr>
                <w:rFonts w:ascii="宋体" w:hAnsi="宋体"/>
                <w:color w:val="000000"/>
                <w:szCs w:val="21"/>
              </w:rPr>
            </w:pPr>
            <w:r w:rsidRPr="00177EED">
              <w:rPr>
                <w:rFonts w:ascii="宋体" w:hAnsi="宋体" w:hint="eastAsia"/>
                <w:color w:val="000000"/>
                <w:szCs w:val="21"/>
              </w:rPr>
              <w:t>4、最大限度保留区内原有自然生态系统，保护好河湖湿地生境，严格限制非生态型河湖岸工程建设范围。</w:t>
            </w:r>
          </w:p>
        </w:tc>
      </w:tr>
      <w:tr w:rsidR="00177EED" w:rsidRPr="00177EED" w:rsidTr="00CE3107">
        <w:trPr>
          <w:trHeight w:val="1665"/>
        </w:trPr>
        <w:tc>
          <w:tcPr>
            <w:tcW w:w="425" w:type="pct"/>
            <w:vMerge/>
            <w:tcBorders>
              <w:top w:val="nil"/>
              <w:left w:val="single" w:sz="8" w:space="0" w:color="000000"/>
              <w:bottom w:val="single" w:sz="8" w:space="0" w:color="000000"/>
              <w:right w:val="single" w:sz="8" w:space="0" w:color="000000"/>
            </w:tcBorders>
            <w:vAlign w:val="center"/>
            <w:hideMark/>
          </w:tcPr>
          <w:p w:rsidR="00177EED" w:rsidRPr="00177EED" w:rsidRDefault="00177EED" w:rsidP="00177EED">
            <w:pPr>
              <w:jc w:val="center"/>
              <w:rPr>
                <w:rFonts w:ascii="宋体" w:hAnsi="宋体"/>
                <w:color w:val="000000"/>
                <w:szCs w:val="21"/>
              </w:rPr>
            </w:pPr>
          </w:p>
        </w:tc>
        <w:tc>
          <w:tcPr>
            <w:tcW w:w="645" w:type="pct"/>
            <w:tcBorders>
              <w:top w:val="nil"/>
              <w:left w:val="single" w:sz="8" w:space="0" w:color="000000"/>
              <w:bottom w:val="single" w:sz="8" w:space="0" w:color="000000"/>
              <w:right w:val="single" w:sz="8" w:space="0" w:color="000000"/>
            </w:tcBorders>
            <w:shd w:val="clear" w:color="auto" w:fill="auto"/>
            <w:vAlign w:val="center"/>
            <w:hideMark/>
          </w:tcPr>
          <w:p w:rsidR="00177EED" w:rsidRPr="00177EED" w:rsidRDefault="00177EED" w:rsidP="00177EED">
            <w:pPr>
              <w:jc w:val="center"/>
              <w:rPr>
                <w:rFonts w:ascii="宋体" w:hAnsi="宋体"/>
                <w:color w:val="000000"/>
                <w:szCs w:val="21"/>
              </w:rPr>
            </w:pPr>
            <w:r w:rsidRPr="00177EED">
              <w:rPr>
                <w:rFonts w:ascii="宋体" w:hAnsi="宋体"/>
                <w:color w:val="000000"/>
                <w:szCs w:val="21"/>
              </w:rPr>
              <w:t>环境控制亚区</w:t>
            </w:r>
          </w:p>
        </w:tc>
        <w:tc>
          <w:tcPr>
            <w:tcW w:w="3930" w:type="pct"/>
            <w:tcBorders>
              <w:top w:val="nil"/>
              <w:left w:val="single" w:sz="8" w:space="0" w:color="000000"/>
              <w:bottom w:val="single" w:sz="8" w:space="0" w:color="000000"/>
              <w:right w:val="single" w:sz="8" w:space="0" w:color="000000"/>
            </w:tcBorders>
          </w:tcPr>
          <w:p w:rsidR="00177EED" w:rsidRPr="00177EED" w:rsidRDefault="00177EED" w:rsidP="00177EED">
            <w:pPr>
              <w:jc w:val="left"/>
              <w:rPr>
                <w:rFonts w:ascii="宋体" w:hAnsi="宋体"/>
                <w:color w:val="000000"/>
                <w:szCs w:val="21"/>
              </w:rPr>
            </w:pPr>
            <w:r w:rsidRPr="00177EED">
              <w:rPr>
                <w:rFonts w:ascii="宋体" w:hAnsi="宋体" w:hint="eastAsia"/>
                <w:color w:val="000000"/>
                <w:szCs w:val="21"/>
              </w:rPr>
              <w:t>1、禁止新建、扩建三类工业项目，但鼓励对三类工业项目进行淘汰和提升改造；</w:t>
            </w:r>
          </w:p>
          <w:p w:rsidR="00177EED" w:rsidRPr="00177EED" w:rsidRDefault="00177EED" w:rsidP="00177EED">
            <w:pPr>
              <w:jc w:val="left"/>
              <w:rPr>
                <w:rFonts w:ascii="宋体" w:hAnsi="宋体"/>
                <w:color w:val="000000"/>
                <w:szCs w:val="21"/>
              </w:rPr>
            </w:pPr>
            <w:r w:rsidRPr="00177EED">
              <w:rPr>
                <w:rFonts w:ascii="宋体" w:hAnsi="宋体" w:hint="eastAsia"/>
                <w:color w:val="000000"/>
                <w:szCs w:val="21"/>
              </w:rPr>
              <w:t>2、禁止畜禽养殖；</w:t>
            </w:r>
          </w:p>
          <w:p w:rsidR="00177EED" w:rsidRPr="00177EED" w:rsidRDefault="00177EED" w:rsidP="00177EED">
            <w:pPr>
              <w:jc w:val="left"/>
              <w:rPr>
                <w:rFonts w:ascii="宋体" w:hAnsi="宋体"/>
                <w:color w:val="000000"/>
                <w:szCs w:val="21"/>
              </w:rPr>
            </w:pPr>
            <w:r w:rsidRPr="00177EED">
              <w:rPr>
                <w:rFonts w:ascii="宋体" w:hAnsi="宋体" w:hint="eastAsia"/>
                <w:color w:val="000000"/>
                <w:szCs w:val="21"/>
              </w:rPr>
              <w:t>3、禁止新建入河排污口，现有的入河排污口应限期纳管；</w:t>
            </w:r>
          </w:p>
          <w:p w:rsidR="00177EED" w:rsidRPr="00177EED" w:rsidRDefault="00177EED" w:rsidP="00177EED">
            <w:pPr>
              <w:jc w:val="left"/>
              <w:rPr>
                <w:rFonts w:ascii="宋体" w:hAnsi="宋体"/>
                <w:color w:val="000000"/>
                <w:szCs w:val="21"/>
              </w:rPr>
            </w:pPr>
            <w:r w:rsidRPr="00177EED">
              <w:rPr>
                <w:rFonts w:ascii="宋体" w:hAnsi="宋体" w:hint="eastAsia"/>
                <w:color w:val="000000"/>
                <w:szCs w:val="21"/>
              </w:rPr>
              <w:t>4、合理规划生活区与工业区，在居住区和工业园、工业企业之间设置隔离带，确保人居环境安全和群众身体健康；</w:t>
            </w:r>
          </w:p>
          <w:p w:rsidR="00177EED" w:rsidRPr="00177EED" w:rsidRDefault="00177EED" w:rsidP="00177EED">
            <w:pPr>
              <w:jc w:val="left"/>
              <w:rPr>
                <w:rFonts w:ascii="宋体" w:hAnsi="宋体"/>
                <w:color w:val="000000"/>
                <w:szCs w:val="21"/>
              </w:rPr>
            </w:pPr>
            <w:r w:rsidRPr="00177EED">
              <w:rPr>
                <w:rFonts w:ascii="宋体" w:hAnsi="宋体" w:hint="eastAsia"/>
                <w:color w:val="000000"/>
                <w:szCs w:val="21"/>
              </w:rPr>
              <w:t>5、最大限度保留区内原有自然生态系统，保护好河湖湿地生境，严格限制非生态型河湖岸工程建设范围。</w:t>
            </w:r>
          </w:p>
        </w:tc>
      </w:tr>
    </w:tbl>
    <w:p w:rsidR="00BB1551" w:rsidRPr="001C6291" w:rsidRDefault="00BB1551" w:rsidP="00BB1551">
      <w:pPr>
        <w:pStyle w:val="1"/>
        <w:numPr>
          <w:ilvl w:val="0"/>
          <w:numId w:val="7"/>
        </w:numPr>
      </w:pPr>
      <w:bookmarkStart w:id="9" w:name="_Toc513638721"/>
      <w:r>
        <w:rPr>
          <w:rFonts w:hint="eastAsia"/>
        </w:rPr>
        <w:lastRenderedPageBreak/>
        <w:t>生态</w:t>
      </w:r>
      <w:r w:rsidRPr="001C6291">
        <w:rPr>
          <w:rFonts w:hint="eastAsia"/>
        </w:rPr>
        <w:t>安全格局结构</w:t>
      </w:r>
    </w:p>
    <w:p w:rsidR="00BB1551" w:rsidRDefault="00BB1551" w:rsidP="00BB1551">
      <w:pPr>
        <w:pStyle w:val="a8"/>
        <w:ind w:firstLine="480"/>
        <w:rPr>
          <w:sz w:val="24"/>
          <w:szCs w:val="20"/>
        </w:rPr>
      </w:pPr>
      <w:r w:rsidRPr="00251945">
        <w:rPr>
          <w:rFonts w:hint="eastAsia"/>
          <w:sz w:val="24"/>
          <w:szCs w:val="20"/>
        </w:rPr>
        <w:t>规划形成以衡水湖</w:t>
      </w:r>
      <w:r w:rsidRPr="00251945">
        <w:rPr>
          <w:sz w:val="24"/>
          <w:szCs w:val="20"/>
        </w:rPr>
        <w:t>为生态核心，</w:t>
      </w:r>
      <w:r w:rsidRPr="00251945">
        <w:rPr>
          <w:rFonts w:hint="eastAsia"/>
          <w:sz w:val="24"/>
          <w:szCs w:val="20"/>
        </w:rPr>
        <w:t>以滏阳河、滏阳新河</w:t>
      </w:r>
      <w:r w:rsidRPr="00251945">
        <w:rPr>
          <w:sz w:val="24"/>
          <w:szCs w:val="20"/>
        </w:rPr>
        <w:t>-</w:t>
      </w:r>
      <w:r w:rsidRPr="00251945">
        <w:rPr>
          <w:sz w:val="24"/>
          <w:szCs w:val="20"/>
        </w:rPr>
        <w:t>滏东排河、索泸河</w:t>
      </w:r>
      <w:r w:rsidRPr="00251945">
        <w:rPr>
          <w:rFonts w:hint="eastAsia"/>
          <w:sz w:val="24"/>
          <w:szCs w:val="20"/>
        </w:rPr>
        <w:t>、</w:t>
      </w:r>
      <w:r w:rsidRPr="00251945">
        <w:rPr>
          <w:sz w:val="24"/>
          <w:szCs w:val="20"/>
        </w:rPr>
        <w:t>清凉江</w:t>
      </w:r>
      <w:r w:rsidRPr="00251945">
        <w:rPr>
          <w:rFonts w:hint="eastAsia"/>
          <w:sz w:val="24"/>
          <w:szCs w:val="20"/>
        </w:rPr>
        <w:t>为</w:t>
      </w:r>
      <w:r w:rsidRPr="00251945">
        <w:rPr>
          <w:sz w:val="24"/>
          <w:szCs w:val="20"/>
        </w:rPr>
        <w:t>生态</w:t>
      </w:r>
      <w:r w:rsidRPr="00251945">
        <w:rPr>
          <w:rFonts w:hint="eastAsia"/>
          <w:sz w:val="24"/>
          <w:szCs w:val="20"/>
        </w:rPr>
        <w:t>廊道</w:t>
      </w:r>
      <w:r w:rsidRPr="00251945">
        <w:rPr>
          <w:sz w:val="24"/>
          <w:szCs w:val="20"/>
        </w:rPr>
        <w:t>，</w:t>
      </w:r>
      <w:r w:rsidRPr="00251945">
        <w:rPr>
          <w:rFonts w:hint="eastAsia"/>
          <w:sz w:val="24"/>
          <w:szCs w:val="20"/>
        </w:rPr>
        <w:t>交通干线廊道与主要干渠两侧</w:t>
      </w:r>
      <w:r w:rsidRPr="00251945">
        <w:rPr>
          <w:rFonts w:hint="eastAsia"/>
          <w:sz w:val="24"/>
          <w:szCs w:val="20"/>
        </w:rPr>
        <w:t>50~1000</w:t>
      </w:r>
      <w:r w:rsidRPr="00251945">
        <w:rPr>
          <w:rFonts w:hint="eastAsia"/>
          <w:sz w:val="24"/>
          <w:szCs w:val="20"/>
        </w:rPr>
        <w:t>米</w:t>
      </w:r>
      <w:r>
        <w:rPr>
          <w:rFonts w:hint="eastAsia"/>
          <w:sz w:val="24"/>
          <w:szCs w:val="20"/>
        </w:rPr>
        <w:t>绿化带</w:t>
      </w:r>
      <w:r w:rsidRPr="00251945">
        <w:rPr>
          <w:rFonts w:hint="eastAsia"/>
          <w:sz w:val="24"/>
          <w:szCs w:val="20"/>
        </w:rPr>
        <w:t>形成兼具风沙防护和水源保护功能的人工生态廊道，以</w:t>
      </w:r>
      <w:r w:rsidRPr="00251945">
        <w:rPr>
          <w:sz w:val="24"/>
          <w:szCs w:val="20"/>
        </w:rPr>
        <w:t>农田</w:t>
      </w:r>
      <w:r w:rsidRPr="00251945">
        <w:rPr>
          <w:rFonts w:hint="eastAsia"/>
          <w:sz w:val="24"/>
          <w:szCs w:val="20"/>
        </w:rPr>
        <w:t>生态</w:t>
      </w:r>
      <w:r w:rsidRPr="00251945">
        <w:rPr>
          <w:sz w:val="24"/>
          <w:szCs w:val="20"/>
        </w:rPr>
        <w:t>为</w:t>
      </w:r>
      <w:r w:rsidRPr="00251945">
        <w:rPr>
          <w:rFonts w:hint="eastAsia"/>
          <w:sz w:val="24"/>
          <w:szCs w:val="20"/>
        </w:rPr>
        <w:t>基底</w:t>
      </w:r>
      <w:r w:rsidRPr="00251945">
        <w:rPr>
          <w:sz w:val="24"/>
          <w:szCs w:val="20"/>
        </w:rPr>
        <w:t>，</w:t>
      </w:r>
      <w:r w:rsidRPr="00251945">
        <w:rPr>
          <w:rFonts w:hint="eastAsia"/>
          <w:sz w:val="24"/>
          <w:szCs w:val="20"/>
        </w:rPr>
        <w:t>包围</w:t>
      </w:r>
      <w:r w:rsidRPr="00251945">
        <w:rPr>
          <w:sz w:val="24"/>
          <w:szCs w:val="20"/>
        </w:rPr>
        <w:t>城市</w:t>
      </w:r>
      <w:r w:rsidRPr="00251945">
        <w:rPr>
          <w:rFonts w:hint="eastAsia"/>
          <w:sz w:val="24"/>
          <w:szCs w:val="20"/>
        </w:rPr>
        <w:t>并</w:t>
      </w:r>
      <w:r w:rsidRPr="00251945">
        <w:rPr>
          <w:sz w:val="24"/>
          <w:szCs w:val="20"/>
        </w:rPr>
        <w:t>形成城市生态屏障</w:t>
      </w:r>
      <w:r w:rsidRPr="00251945">
        <w:rPr>
          <w:rFonts w:hint="eastAsia"/>
          <w:sz w:val="24"/>
          <w:szCs w:val="20"/>
        </w:rPr>
        <w:t>的生态安全格局。</w:t>
      </w:r>
    </w:p>
    <w:p w:rsidR="00BB1551" w:rsidRPr="00177EED" w:rsidRDefault="00BB1551" w:rsidP="00BB1551">
      <w:pPr>
        <w:spacing w:line="276" w:lineRule="auto"/>
        <w:rPr>
          <w:color w:val="000000"/>
          <w:szCs w:val="21"/>
        </w:rPr>
      </w:pPr>
    </w:p>
    <w:p w:rsidR="001C6291" w:rsidRPr="001C6291" w:rsidRDefault="001C6291" w:rsidP="001C6291">
      <w:pPr>
        <w:pStyle w:val="1"/>
        <w:numPr>
          <w:ilvl w:val="0"/>
          <w:numId w:val="7"/>
        </w:numPr>
      </w:pPr>
      <w:r w:rsidRPr="001C6291">
        <w:rPr>
          <w:rFonts w:hint="eastAsia"/>
        </w:rPr>
        <w:t>水污染防治规划</w:t>
      </w:r>
      <w:bookmarkEnd w:id="9"/>
    </w:p>
    <w:p w:rsidR="001C6291" w:rsidRPr="001C6291" w:rsidRDefault="001C6291" w:rsidP="001C6291">
      <w:pPr>
        <w:pStyle w:val="20"/>
        <w:numPr>
          <w:ilvl w:val="0"/>
          <w:numId w:val="6"/>
        </w:numPr>
        <w:rPr>
          <w:rFonts w:ascii="宋体" w:eastAsia="宋体" w:hAnsi="宋体"/>
        </w:rPr>
      </w:pPr>
      <w:bookmarkStart w:id="10" w:name="_Toc433645476"/>
      <w:bookmarkStart w:id="11" w:name="_Toc479778255"/>
      <w:bookmarkStart w:id="12" w:name="_Toc491719772"/>
      <w:r w:rsidRPr="001C6291">
        <w:rPr>
          <w:rFonts w:ascii="宋体" w:eastAsia="宋体" w:hAnsi="宋体" w:hint="eastAsia"/>
        </w:rPr>
        <w:t>水环境</w:t>
      </w:r>
      <w:bookmarkEnd w:id="10"/>
      <w:bookmarkEnd w:id="11"/>
      <w:bookmarkEnd w:id="12"/>
      <w:r w:rsidRPr="001C6291">
        <w:rPr>
          <w:rFonts w:ascii="宋体" w:eastAsia="宋体" w:hAnsi="宋体" w:hint="eastAsia"/>
        </w:rPr>
        <w:t>功能区划</w:t>
      </w:r>
    </w:p>
    <w:p w:rsidR="001C6291" w:rsidRPr="001C6291" w:rsidRDefault="001C6291" w:rsidP="001C6291">
      <w:pPr>
        <w:spacing w:line="360" w:lineRule="auto"/>
        <w:ind w:firstLineChars="200" w:firstLine="480"/>
        <w:rPr>
          <w:sz w:val="24"/>
          <w:szCs w:val="20"/>
        </w:rPr>
      </w:pPr>
      <w:bookmarkStart w:id="13" w:name="_Toc433645477"/>
      <w:bookmarkStart w:id="14" w:name="_Toc479778256"/>
      <w:bookmarkStart w:id="15" w:name="_Toc491719773"/>
      <w:r w:rsidRPr="001C6291">
        <w:rPr>
          <w:rFonts w:hint="eastAsia"/>
          <w:sz w:val="24"/>
          <w:szCs w:val="20"/>
        </w:rPr>
        <w:t>（</w:t>
      </w:r>
      <w:r w:rsidRPr="001C6291">
        <w:rPr>
          <w:rFonts w:hint="eastAsia"/>
          <w:sz w:val="24"/>
          <w:szCs w:val="20"/>
        </w:rPr>
        <w:t>1</w:t>
      </w:r>
      <w:r w:rsidRPr="001C6291">
        <w:rPr>
          <w:rFonts w:hint="eastAsia"/>
          <w:sz w:val="24"/>
          <w:szCs w:val="20"/>
        </w:rPr>
        <w:t>）Ⅰ</w:t>
      </w:r>
      <w:r w:rsidRPr="001C6291">
        <w:rPr>
          <w:sz w:val="24"/>
          <w:szCs w:val="20"/>
        </w:rPr>
        <w:t>类水环境功能区</w:t>
      </w:r>
    </w:p>
    <w:p w:rsidR="001C6291" w:rsidRPr="001C6291" w:rsidRDefault="001C6291" w:rsidP="001C6291">
      <w:pPr>
        <w:spacing w:line="360" w:lineRule="auto"/>
        <w:ind w:firstLineChars="200" w:firstLine="480"/>
        <w:rPr>
          <w:sz w:val="24"/>
          <w:szCs w:val="20"/>
        </w:rPr>
      </w:pPr>
      <w:r w:rsidRPr="001C6291">
        <w:rPr>
          <w:sz w:val="24"/>
          <w:szCs w:val="20"/>
        </w:rPr>
        <w:t>包括河北衡水湖国家级自然保护区范围内的水域，主要是衡水湖。</w:t>
      </w:r>
    </w:p>
    <w:p w:rsidR="001C6291" w:rsidRPr="001C6291" w:rsidRDefault="001C6291" w:rsidP="001C6291">
      <w:pPr>
        <w:spacing w:line="360" w:lineRule="auto"/>
        <w:ind w:firstLineChars="200" w:firstLine="480"/>
        <w:rPr>
          <w:sz w:val="24"/>
          <w:szCs w:val="20"/>
        </w:rPr>
      </w:pPr>
      <w:r w:rsidRPr="001C6291">
        <w:rPr>
          <w:rFonts w:hint="eastAsia"/>
          <w:sz w:val="24"/>
          <w:szCs w:val="20"/>
        </w:rPr>
        <w:t>（</w:t>
      </w:r>
      <w:r w:rsidRPr="001C6291">
        <w:rPr>
          <w:rFonts w:hint="eastAsia"/>
          <w:sz w:val="24"/>
          <w:szCs w:val="20"/>
        </w:rPr>
        <w:t>2</w:t>
      </w:r>
      <w:r w:rsidRPr="001C6291">
        <w:rPr>
          <w:rFonts w:hint="eastAsia"/>
          <w:sz w:val="24"/>
          <w:szCs w:val="20"/>
        </w:rPr>
        <w:t>）Ⅱ</w:t>
      </w:r>
      <w:r w:rsidRPr="001C6291">
        <w:rPr>
          <w:sz w:val="24"/>
          <w:szCs w:val="20"/>
        </w:rPr>
        <w:t>类水环境功能区</w:t>
      </w:r>
    </w:p>
    <w:p w:rsidR="001C6291" w:rsidRPr="001C6291" w:rsidRDefault="001C6291" w:rsidP="001C6291">
      <w:pPr>
        <w:spacing w:line="360" w:lineRule="auto"/>
        <w:ind w:firstLineChars="200" w:firstLine="480"/>
        <w:rPr>
          <w:sz w:val="24"/>
          <w:szCs w:val="20"/>
        </w:rPr>
      </w:pPr>
      <w:r w:rsidRPr="001C6291">
        <w:rPr>
          <w:sz w:val="24"/>
          <w:szCs w:val="20"/>
        </w:rPr>
        <w:t>包括国家级自然保护区上游来水及过境河流，以及《河北省水功能区划》划定的具有保护区功能的河流，主要是清凉江、南水北调工程引水渠、冀州区内衡水湖上游河流水系。</w:t>
      </w:r>
    </w:p>
    <w:p w:rsidR="001C6291" w:rsidRPr="001C6291" w:rsidRDefault="001C6291" w:rsidP="001C6291">
      <w:pPr>
        <w:spacing w:line="360" w:lineRule="auto"/>
        <w:ind w:firstLineChars="200" w:firstLine="480"/>
        <w:rPr>
          <w:sz w:val="24"/>
          <w:szCs w:val="20"/>
        </w:rPr>
      </w:pPr>
      <w:r w:rsidRPr="001C6291">
        <w:rPr>
          <w:rFonts w:hint="eastAsia"/>
          <w:sz w:val="24"/>
          <w:szCs w:val="20"/>
        </w:rPr>
        <w:t>（</w:t>
      </w:r>
      <w:r w:rsidRPr="001C6291">
        <w:rPr>
          <w:rFonts w:hint="eastAsia"/>
          <w:sz w:val="24"/>
          <w:szCs w:val="20"/>
        </w:rPr>
        <w:t>3</w:t>
      </w:r>
      <w:r w:rsidRPr="001C6291">
        <w:rPr>
          <w:rFonts w:hint="eastAsia"/>
          <w:sz w:val="24"/>
          <w:szCs w:val="20"/>
        </w:rPr>
        <w:t>）Ⅲ</w:t>
      </w:r>
      <w:r w:rsidRPr="001C6291">
        <w:rPr>
          <w:sz w:val="24"/>
          <w:szCs w:val="20"/>
        </w:rPr>
        <w:t>类水环境功能区</w:t>
      </w:r>
    </w:p>
    <w:p w:rsidR="001C6291" w:rsidRPr="001C6291" w:rsidRDefault="001C6291" w:rsidP="001C6291">
      <w:pPr>
        <w:spacing w:line="360" w:lineRule="auto"/>
        <w:ind w:firstLineChars="200" w:firstLine="480"/>
        <w:rPr>
          <w:sz w:val="24"/>
          <w:szCs w:val="20"/>
        </w:rPr>
      </w:pPr>
      <w:r w:rsidRPr="001C6291">
        <w:rPr>
          <w:sz w:val="24"/>
          <w:szCs w:val="20"/>
        </w:rPr>
        <w:t>包括流经城区、镇区、村庄，作为人体非直接接触的娱乐用水、景观用水等，主要是滏阳河、滏阳新河、索泸河等的上游河段。</w:t>
      </w:r>
    </w:p>
    <w:p w:rsidR="001C6291" w:rsidRPr="001C6291" w:rsidRDefault="001C6291" w:rsidP="001C6291">
      <w:pPr>
        <w:spacing w:line="360" w:lineRule="auto"/>
        <w:ind w:firstLineChars="200" w:firstLine="480"/>
        <w:rPr>
          <w:sz w:val="24"/>
          <w:szCs w:val="20"/>
        </w:rPr>
      </w:pPr>
      <w:r w:rsidRPr="001C6291">
        <w:rPr>
          <w:rFonts w:hint="eastAsia"/>
          <w:sz w:val="24"/>
          <w:szCs w:val="20"/>
        </w:rPr>
        <w:t>（</w:t>
      </w:r>
      <w:r w:rsidRPr="001C6291">
        <w:rPr>
          <w:rFonts w:hint="eastAsia"/>
          <w:sz w:val="24"/>
          <w:szCs w:val="20"/>
        </w:rPr>
        <w:t>4</w:t>
      </w:r>
      <w:r w:rsidRPr="001C6291">
        <w:rPr>
          <w:rFonts w:hint="eastAsia"/>
          <w:sz w:val="24"/>
          <w:szCs w:val="20"/>
        </w:rPr>
        <w:t>）Ⅳ</w:t>
      </w:r>
      <w:r w:rsidRPr="001C6291">
        <w:rPr>
          <w:sz w:val="24"/>
          <w:szCs w:val="20"/>
        </w:rPr>
        <w:t>类水环境功能区</w:t>
      </w:r>
    </w:p>
    <w:p w:rsidR="001C6291" w:rsidRPr="001C6291" w:rsidRDefault="001C6291" w:rsidP="001C6291">
      <w:pPr>
        <w:spacing w:line="360" w:lineRule="auto"/>
        <w:ind w:firstLineChars="200" w:firstLine="480"/>
        <w:rPr>
          <w:sz w:val="24"/>
          <w:szCs w:val="20"/>
        </w:rPr>
      </w:pPr>
      <w:r w:rsidRPr="001C6291">
        <w:rPr>
          <w:sz w:val="24"/>
          <w:szCs w:val="20"/>
        </w:rPr>
        <w:t>包括流经工业区和农业区，作为一般工业用水和农业用水的河流，主要是各灌溉渠，以及滏阳河、滏阳新河、索泸河等的下游河段。</w:t>
      </w:r>
    </w:p>
    <w:p w:rsidR="001C6291" w:rsidRPr="001C6291" w:rsidRDefault="001C6291" w:rsidP="001C6291">
      <w:pPr>
        <w:pStyle w:val="20"/>
        <w:numPr>
          <w:ilvl w:val="0"/>
          <w:numId w:val="6"/>
        </w:numPr>
        <w:rPr>
          <w:rFonts w:ascii="宋体" w:eastAsia="宋体" w:hAnsi="宋体"/>
        </w:rPr>
      </w:pPr>
      <w:r w:rsidRPr="001C6291">
        <w:rPr>
          <w:rFonts w:ascii="宋体" w:eastAsia="宋体" w:hAnsi="宋体" w:hint="eastAsia"/>
        </w:rPr>
        <w:t>饮用水水污染防治</w:t>
      </w:r>
    </w:p>
    <w:p w:rsidR="001C6291" w:rsidRPr="001C6291" w:rsidRDefault="001C6291" w:rsidP="001C6291">
      <w:pPr>
        <w:spacing w:line="360" w:lineRule="auto"/>
        <w:ind w:firstLineChars="200" w:firstLine="480"/>
        <w:rPr>
          <w:sz w:val="24"/>
          <w:szCs w:val="20"/>
        </w:rPr>
      </w:pPr>
      <w:r w:rsidRPr="001C6291">
        <w:rPr>
          <w:rFonts w:hint="eastAsia"/>
          <w:sz w:val="24"/>
          <w:szCs w:val="20"/>
        </w:rPr>
        <w:t>（</w:t>
      </w:r>
      <w:r w:rsidRPr="001C6291">
        <w:rPr>
          <w:rFonts w:hint="eastAsia"/>
          <w:sz w:val="24"/>
          <w:szCs w:val="20"/>
        </w:rPr>
        <w:t>1</w:t>
      </w:r>
      <w:r w:rsidRPr="001C6291">
        <w:rPr>
          <w:rFonts w:hint="eastAsia"/>
          <w:sz w:val="24"/>
          <w:szCs w:val="20"/>
        </w:rPr>
        <w:t>）地下水源</w:t>
      </w:r>
      <w:r w:rsidRPr="001C6291">
        <w:rPr>
          <w:sz w:val="24"/>
          <w:szCs w:val="20"/>
        </w:rPr>
        <w:t>保护</w:t>
      </w:r>
    </w:p>
    <w:p w:rsidR="001C6291" w:rsidRPr="001C6291" w:rsidRDefault="001C6291" w:rsidP="001C6291">
      <w:pPr>
        <w:spacing w:line="360" w:lineRule="auto"/>
        <w:ind w:firstLineChars="200" w:firstLine="480"/>
        <w:rPr>
          <w:sz w:val="24"/>
          <w:szCs w:val="20"/>
        </w:rPr>
      </w:pPr>
      <w:r w:rsidRPr="001C6291">
        <w:rPr>
          <w:sz w:val="24"/>
          <w:szCs w:val="20"/>
        </w:rPr>
        <w:t>桃城区、枣强县、武邑县地下水水源一级保护区范围为：以水源井取水口为中心，或以井群外缘井中心连线为基线，向四周外延</w:t>
      </w:r>
      <w:r w:rsidRPr="001C6291">
        <w:rPr>
          <w:sz w:val="24"/>
          <w:szCs w:val="20"/>
        </w:rPr>
        <w:t>30</w:t>
      </w:r>
      <w:r w:rsidRPr="001C6291">
        <w:rPr>
          <w:sz w:val="24"/>
          <w:szCs w:val="20"/>
        </w:rPr>
        <w:t>米的范围。</w:t>
      </w:r>
    </w:p>
    <w:p w:rsidR="001C6291" w:rsidRPr="001C6291" w:rsidRDefault="001C6291" w:rsidP="001C6291">
      <w:pPr>
        <w:spacing w:line="360" w:lineRule="auto"/>
        <w:ind w:firstLineChars="200" w:firstLine="480"/>
        <w:rPr>
          <w:sz w:val="24"/>
          <w:szCs w:val="20"/>
        </w:rPr>
      </w:pPr>
      <w:r w:rsidRPr="001C6291">
        <w:rPr>
          <w:sz w:val="24"/>
          <w:szCs w:val="20"/>
        </w:rPr>
        <w:t>冀州区地下水水源一级保护区范围为：以水源井取水口为中心，或以井群外</w:t>
      </w:r>
      <w:r w:rsidRPr="001C6291">
        <w:rPr>
          <w:sz w:val="24"/>
          <w:szCs w:val="20"/>
        </w:rPr>
        <w:lastRenderedPageBreak/>
        <w:t>缘井中心连线为基线，向四周外延</w:t>
      </w:r>
      <w:r w:rsidRPr="001C6291">
        <w:rPr>
          <w:sz w:val="24"/>
          <w:szCs w:val="20"/>
        </w:rPr>
        <w:t>50</w:t>
      </w:r>
      <w:r w:rsidRPr="001C6291">
        <w:rPr>
          <w:sz w:val="24"/>
          <w:szCs w:val="20"/>
        </w:rPr>
        <w:t>米的范围。</w:t>
      </w:r>
    </w:p>
    <w:p w:rsidR="001C6291" w:rsidRPr="001C6291" w:rsidRDefault="001C6291" w:rsidP="001C6291">
      <w:pPr>
        <w:spacing w:line="360" w:lineRule="auto"/>
        <w:ind w:firstLineChars="200" w:firstLine="480"/>
        <w:rPr>
          <w:sz w:val="24"/>
          <w:szCs w:val="20"/>
        </w:rPr>
      </w:pPr>
      <w:r w:rsidRPr="001C6291">
        <w:rPr>
          <w:rFonts w:hint="eastAsia"/>
          <w:sz w:val="24"/>
          <w:szCs w:val="20"/>
        </w:rPr>
        <w:t>水源地</w:t>
      </w:r>
      <w:r w:rsidRPr="001C6291">
        <w:rPr>
          <w:sz w:val="24"/>
          <w:szCs w:val="20"/>
        </w:rPr>
        <w:t>管控措施：</w:t>
      </w:r>
      <w:r w:rsidRPr="001C6291">
        <w:rPr>
          <w:rFonts w:hint="eastAsia"/>
          <w:sz w:val="24"/>
          <w:szCs w:val="20"/>
        </w:rPr>
        <w:t>地下饮用水水源地水质执行《地下水质量标准》（</w:t>
      </w:r>
      <w:r w:rsidRPr="001C6291">
        <w:rPr>
          <w:rFonts w:hint="eastAsia"/>
          <w:sz w:val="24"/>
          <w:szCs w:val="20"/>
        </w:rPr>
        <w:t>GB/T14848-93</w:t>
      </w:r>
      <w:r w:rsidRPr="001C6291">
        <w:rPr>
          <w:rFonts w:hint="eastAsia"/>
          <w:sz w:val="24"/>
          <w:szCs w:val="20"/>
        </w:rPr>
        <w:t>）</w:t>
      </w:r>
      <w:r w:rsidRPr="001C6291">
        <w:rPr>
          <w:rFonts w:hint="eastAsia"/>
          <w:sz w:val="24"/>
          <w:szCs w:val="20"/>
        </w:rPr>
        <w:t>III</w:t>
      </w:r>
      <w:r w:rsidRPr="001C6291">
        <w:rPr>
          <w:rFonts w:hint="eastAsia"/>
          <w:sz w:val="24"/>
          <w:szCs w:val="20"/>
        </w:rPr>
        <w:t>类标准。</w:t>
      </w:r>
      <w:r w:rsidRPr="001C6291">
        <w:rPr>
          <w:sz w:val="24"/>
          <w:szCs w:val="20"/>
        </w:rPr>
        <w:t>在水源保护区范围内，严格执行《饮用水水源保护区污染防治管理规定》。</w:t>
      </w:r>
    </w:p>
    <w:p w:rsidR="001C6291" w:rsidRPr="001C6291" w:rsidRDefault="001C6291" w:rsidP="001C6291">
      <w:pPr>
        <w:spacing w:line="360" w:lineRule="auto"/>
        <w:ind w:firstLineChars="200" w:firstLine="480"/>
        <w:rPr>
          <w:sz w:val="24"/>
          <w:szCs w:val="20"/>
        </w:rPr>
      </w:pPr>
      <w:r w:rsidRPr="001C6291">
        <w:rPr>
          <w:rFonts w:hint="eastAsia"/>
          <w:sz w:val="24"/>
          <w:szCs w:val="20"/>
        </w:rPr>
        <w:t>（</w:t>
      </w:r>
      <w:r w:rsidRPr="001C6291">
        <w:rPr>
          <w:rFonts w:hint="eastAsia"/>
          <w:sz w:val="24"/>
          <w:szCs w:val="20"/>
        </w:rPr>
        <w:t>2</w:t>
      </w:r>
      <w:r w:rsidRPr="001C6291">
        <w:rPr>
          <w:rFonts w:hint="eastAsia"/>
          <w:sz w:val="24"/>
          <w:szCs w:val="20"/>
        </w:rPr>
        <w:t>）</w:t>
      </w:r>
      <w:r w:rsidRPr="001C6291">
        <w:rPr>
          <w:sz w:val="24"/>
          <w:szCs w:val="20"/>
        </w:rPr>
        <w:t>地表水源地保护</w:t>
      </w:r>
    </w:p>
    <w:p w:rsidR="001C6291" w:rsidRPr="001C6291" w:rsidRDefault="001C6291" w:rsidP="001C6291">
      <w:pPr>
        <w:spacing w:line="360" w:lineRule="auto"/>
        <w:ind w:firstLineChars="200" w:firstLine="480"/>
        <w:rPr>
          <w:sz w:val="24"/>
          <w:szCs w:val="20"/>
        </w:rPr>
      </w:pPr>
      <w:r w:rsidRPr="001C6291">
        <w:rPr>
          <w:rFonts w:hint="eastAsia"/>
          <w:sz w:val="24"/>
          <w:szCs w:val="20"/>
        </w:rPr>
        <w:t>规划</w:t>
      </w:r>
      <w:r w:rsidRPr="001C6291">
        <w:rPr>
          <w:sz w:val="24"/>
          <w:szCs w:val="20"/>
        </w:rPr>
        <w:t>衡水湖西湖为南水北调水源地，水源地保护范围包括输水干渠</w:t>
      </w:r>
      <w:r w:rsidRPr="001C6291">
        <w:rPr>
          <w:rFonts w:hint="eastAsia"/>
          <w:sz w:val="24"/>
          <w:szCs w:val="20"/>
        </w:rPr>
        <w:t>，</w:t>
      </w:r>
      <w:r w:rsidRPr="001C6291">
        <w:rPr>
          <w:sz w:val="24"/>
          <w:szCs w:val="20"/>
        </w:rPr>
        <w:t>设一级保护区和二级保护区。</w:t>
      </w:r>
    </w:p>
    <w:p w:rsidR="001C6291" w:rsidRPr="001C6291" w:rsidRDefault="001C6291" w:rsidP="001C6291">
      <w:pPr>
        <w:spacing w:line="360" w:lineRule="auto"/>
        <w:ind w:firstLineChars="200" w:firstLine="480"/>
        <w:rPr>
          <w:sz w:val="24"/>
          <w:szCs w:val="20"/>
        </w:rPr>
      </w:pPr>
      <w:r w:rsidRPr="001C6291">
        <w:rPr>
          <w:rFonts w:hint="eastAsia"/>
          <w:sz w:val="24"/>
          <w:szCs w:val="20"/>
        </w:rPr>
        <w:t>水域</w:t>
      </w:r>
      <w:r w:rsidRPr="001C6291">
        <w:rPr>
          <w:sz w:val="24"/>
          <w:szCs w:val="20"/>
        </w:rPr>
        <w:t>一级保护区：依据《饮用水水源保护区划分技术规范》（</w:t>
      </w:r>
      <w:r w:rsidRPr="001C6291">
        <w:rPr>
          <w:sz w:val="24"/>
          <w:szCs w:val="20"/>
        </w:rPr>
        <w:t>HJ/T338-2007</w:t>
      </w:r>
      <w:r w:rsidRPr="001C6291">
        <w:rPr>
          <w:sz w:val="24"/>
          <w:szCs w:val="20"/>
        </w:rPr>
        <w:t>），西湖蓄水稳定后，根据水动力特性和水质状况科学划分，一级保护区内执行《地表水环境质量标准》（</w:t>
      </w:r>
      <w:r w:rsidRPr="001C6291">
        <w:rPr>
          <w:sz w:val="24"/>
          <w:szCs w:val="20"/>
        </w:rPr>
        <w:t>GB3838-2002</w:t>
      </w:r>
      <w:r w:rsidRPr="001C6291">
        <w:rPr>
          <w:sz w:val="24"/>
          <w:szCs w:val="20"/>
        </w:rPr>
        <w:t>）</w:t>
      </w:r>
      <w:r w:rsidRPr="001C6291">
        <w:rPr>
          <w:rFonts w:hint="eastAsia"/>
          <w:sz w:val="24"/>
          <w:szCs w:val="20"/>
        </w:rPr>
        <w:t>Ⅱ</w:t>
      </w:r>
      <w:r w:rsidRPr="001C6291">
        <w:rPr>
          <w:sz w:val="24"/>
          <w:szCs w:val="20"/>
        </w:rPr>
        <w:t>类标准。</w:t>
      </w:r>
    </w:p>
    <w:p w:rsidR="001C6291" w:rsidRPr="001C6291" w:rsidRDefault="001C6291" w:rsidP="001C6291">
      <w:pPr>
        <w:spacing w:line="360" w:lineRule="auto"/>
        <w:ind w:firstLineChars="200" w:firstLine="480"/>
        <w:rPr>
          <w:sz w:val="24"/>
          <w:szCs w:val="20"/>
        </w:rPr>
      </w:pPr>
      <w:r w:rsidRPr="001C6291">
        <w:rPr>
          <w:rFonts w:hint="eastAsia"/>
          <w:sz w:val="24"/>
          <w:szCs w:val="20"/>
        </w:rPr>
        <w:t>水域</w:t>
      </w:r>
      <w:r w:rsidRPr="001C6291">
        <w:rPr>
          <w:sz w:val="24"/>
          <w:szCs w:val="20"/>
        </w:rPr>
        <w:t>二级保护区：依据《饮用水水源保护区划分技术规范》（</w:t>
      </w:r>
      <w:r w:rsidRPr="001C6291">
        <w:rPr>
          <w:sz w:val="24"/>
          <w:szCs w:val="20"/>
        </w:rPr>
        <w:t>HJ/T338-2007</w:t>
      </w:r>
      <w:r w:rsidRPr="001C6291">
        <w:rPr>
          <w:sz w:val="24"/>
          <w:szCs w:val="20"/>
        </w:rPr>
        <w:t>），在一级保护区范围基础上划分，且执行《地表水环境质量标准》（</w:t>
      </w:r>
      <w:r w:rsidRPr="001C6291">
        <w:rPr>
          <w:sz w:val="24"/>
          <w:szCs w:val="20"/>
        </w:rPr>
        <w:t>GB3838-2002</w:t>
      </w:r>
      <w:r w:rsidRPr="001C6291">
        <w:rPr>
          <w:sz w:val="24"/>
          <w:szCs w:val="20"/>
        </w:rPr>
        <w:t>）</w:t>
      </w:r>
      <w:r w:rsidRPr="001C6291">
        <w:rPr>
          <w:rFonts w:hint="eastAsia"/>
          <w:sz w:val="24"/>
          <w:szCs w:val="20"/>
        </w:rPr>
        <w:t>Ⅲ</w:t>
      </w:r>
      <w:r w:rsidRPr="001C6291">
        <w:rPr>
          <w:sz w:val="24"/>
          <w:szCs w:val="20"/>
        </w:rPr>
        <w:t>类标准。</w:t>
      </w:r>
    </w:p>
    <w:p w:rsidR="001C6291" w:rsidRPr="001C6291" w:rsidRDefault="001C6291" w:rsidP="001C6291">
      <w:pPr>
        <w:spacing w:line="360" w:lineRule="auto"/>
        <w:ind w:firstLineChars="200" w:firstLine="480"/>
        <w:rPr>
          <w:sz w:val="24"/>
          <w:szCs w:val="20"/>
        </w:rPr>
      </w:pPr>
      <w:r w:rsidRPr="001C6291">
        <w:rPr>
          <w:sz w:val="24"/>
          <w:szCs w:val="20"/>
        </w:rPr>
        <w:t>水源保护区管控措施</w:t>
      </w:r>
      <w:r w:rsidRPr="001C6291">
        <w:rPr>
          <w:rFonts w:hint="eastAsia"/>
          <w:sz w:val="24"/>
          <w:szCs w:val="20"/>
        </w:rPr>
        <w:t>：</w:t>
      </w:r>
      <w:r w:rsidRPr="001C6291">
        <w:rPr>
          <w:sz w:val="24"/>
          <w:szCs w:val="20"/>
        </w:rPr>
        <w:t>衡水湖水源地保护区范围内严格执行《饮用水水源保护区污染防治管理规定》</w:t>
      </w:r>
      <w:r w:rsidRPr="001C6291">
        <w:rPr>
          <w:rFonts w:hint="eastAsia"/>
          <w:sz w:val="24"/>
          <w:szCs w:val="20"/>
        </w:rPr>
        <w:t>。</w:t>
      </w:r>
      <w:r w:rsidRPr="001C6291">
        <w:rPr>
          <w:sz w:val="24"/>
          <w:szCs w:val="20"/>
        </w:rPr>
        <w:t xml:space="preserve"> </w:t>
      </w:r>
      <w:r w:rsidRPr="001C6291">
        <w:rPr>
          <w:rFonts w:hint="eastAsia"/>
          <w:sz w:val="24"/>
          <w:szCs w:val="20"/>
        </w:rPr>
        <w:t>水源地</w:t>
      </w:r>
      <w:r w:rsidRPr="001C6291">
        <w:rPr>
          <w:sz w:val="24"/>
          <w:szCs w:val="20"/>
        </w:rPr>
        <w:t>重点村庄为环境重点监控区域，应积极采取措施防治水源地遭受污染，开展生活污水的收集和治理，减少生活污水直接排放；健全垃圾收集与处理处置系统，防止固体垃圾污染水质；增加农村绿化面积，提高水源涵养，减少雨水径流污染等。</w:t>
      </w:r>
    </w:p>
    <w:p w:rsidR="001C6291" w:rsidRPr="001C6291" w:rsidRDefault="001C6291" w:rsidP="001C6291">
      <w:pPr>
        <w:spacing w:line="360" w:lineRule="auto"/>
        <w:ind w:firstLineChars="200" w:firstLine="480"/>
        <w:rPr>
          <w:sz w:val="24"/>
          <w:szCs w:val="20"/>
        </w:rPr>
      </w:pPr>
      <w:r w:rsidRPr="001C6291">
        <w:rPr>
          <w:rFonts w:hint="eastAsia"/>
          <w:sz w:val="24"/>
          <w:szCs w:val="20"/>
        </w:rPr>
        <w:t>（</w:t>
      </w:r>
      <w:r w:rsidRPr="001C6291">
        <w:rPr>
          <w:rFonts w:hint="eastAsia"/>
          <w:sz w:val="24"/>
          <w:szCs w:val="20"/>
        </w:rPr>
        <w:t>3</w:t>
      </w:r>
      <w:r w:rsidRPr="001C6291">
        <w:rPr>
          <w:rFonts w:hint="eastAsia"/>
          <w:sz w:val="24"/>
          <w:szCs w:val="20"/>
        </w:rPr>
        <w:t>）“南水北调”输水渠道保护</w:t>
      </w:r>
    </w:p>
    <w:p w:rsidR="001C6291" w:rsidRPr="001C6291" w:rsidRDefault="001C6291" w:rsidP="001C6291">
      <w:pPr>
        <w:spacing w:line="360" w:lineRule="auto"/>
        <w:ind w:firstLineChars="200" w:firstLine="480"/>
        <w:rPr>
          <w:sz w:val="24"/>
          <w:szCs w:val="20"/>
        </w:rPr>
      </w:pPr>
      <w:r w:rsidRPr="001C6291">
        <w:rPr>
          <w:rFonts w:hint="eastAsia"/>
          <w:sz w:val="24"/>
          <w:szCs w:val="20"/>
        </w:rPr>
        <w:t>一级保护区：输水渠道（管道）两旁</w:t>
      </w:r>
      <w:r w:rsidRPr="001C6291">
        <w:rPr>
          <w:rFonts w:hint="eastAsia"/>
          <w:sz w:val="24"/>
          <w:szCs w:val="20"/>
        </w:rPr>
        <w:t>50</w:t>
      </w:r>
      <w:r w:rsidRPr="001C6291">
        <w:rPr>
          <w:rFonts w:hint="eastAsia"/>
          <w:sz w:val="24"/>
          <w:szCs w:val="20"/>
        </w:rPr>
        <w:t>米的范围为一级保护区，一级保护区内不得建设非渠道用建筑物。</w:t>
      </w:r>
    </w:p>
    <w:p w:rsidR="001C6291" w:rsidRPr="001C6291" w:rsidRDefault="001C6291" w:rsidP="001C6291">
      <w:pPr>
        <w:spacing w:line="360" w:lineRule="auto"/>
        <w:ind w:firstLineChars="200" w:firstLine="480"/>
        <w:rPr>
          <w:sz w:val="24"/>
          <w:szCs w:val="20"/>
        </w:rPr>
      </w:pPr>
      <w:r w:rsidRPr="001C6291">
        <w:rPr>
          <w:rFonts w:hint="eastAsia"/>
          <w:sz w:val="24"/>
          <w:szCs w:val="20"/>
        </w:rPr>
        <w:t>二级保护区：输水渠道两旁</w:t>
      </w:r>
      <w:r w:rsidRPr="001C6291">
        <w:rPr>
          <w:rFonts w:hint="eastAsia"/>
          <w:sz w:val="24"/>
          <w:szCs w:val="20"/>
        </w:rPr>
        <w:t>500</w:t>
      </w:r>
      <w:r w:rsidRPr="001C6291">
        <w:rPr>
          <w:rFonts w:hint="eastAsia"/>
          <w:sz w:val="24"/>
          <w:szCs w:val="20"/>
        </w:rPr>
        <w:t>米或输水管道两侧</w:t>
      </w:r>
      <w:r w:rsidRPr="001C6291">
        <w:rPr>
          <w:rFonts w:hint="eastAsia"/>
          <w:sz w:val="24"/>
          <w:szCs w:val="20"/>
        </w:rPr>
        <w:t>200</w:t>
      </w:r>
      <w:r w:rsidRPr="001C6291">
        <w:rPr>
          <w:rFonts w:hint="eastAsia"/>
          <w:sz w:val="24"/>
          <w:szCs w:val="20"/>
        </w:rPr>
        <w:t>米的范围为二级保护区，二级保护区不得新建有污染物排放设施和进行有碍干渠运行安全的活动。</w:t>
      </w:r>
    </w:p>
    <w:p w:rsidR="001C6291" w:rsidRPr="001C6291" w:rsidRDefault="001C6291" w:rsidP="001C6291">
      <w:pPr>
        <w:spacing w:line="360" w:lineRule="auto"/>
        <w:ind w:firstLineChars="200" w:firstLine="480"/>
        <w:rPr>
          <w:sz w:val="24"/>
          <w:szCs w:val="20"/>
        </w:rPr>
      </w:pPr>
      <w:r w:rsidRPr="001C6291">
        <w:rPr>
          <w:rFonts w:hint="eastAsia"/>
          <w:sz w:val="24"/>
          <w:szCs w:val="20"/>
        </w:rPr>
        <w:t>输水保护区管控措施：一级保护区内，以发展绿色农业、林业为主，从事耕种活动必须采取有效措施；农业种植不得使用不符合国家有关农药安全使用和环保有关规定、标准的高毒和高残留农药；禁止新建、扩建与供水、防洪和保护水源无关的建设项目，防止饮用水源水质污染。</w:t>
      </w:r>
    </w:p>
    <w:p w:rsidR="001C6291" w:rsidRPr="001C6291" w:rsidRDefault="001C6291" w:rsidP="001C6291">
      <w:pPr>
        <w:spacing w:line="360" w:lineRule="auto"/>
        <w:ind w:firstLineChars="200" w:firstLine="480"/>
        <w:rPr>
          <w:sz w:val="24"/>
          <w:szCs w:val="20"/>
        </w:rPr>
      </w:pPr>
      <w:r w:rsidRPr="001C6291">
        <w:rPr>
          <w:rFonts w:hint="eastAsia"/>
          <w:sz w:val="24"/>
          <w:szCs w:val="20"/>
        </w:rPr>
        <w:t>二级保护区内，不得从事以下活动：新建、扩建污染较重的废水排污口，设置医疗废水排污口；新建、扩建污染重的化工建设项目，新建、扩建电镀、皮革</w:t>
      </w:r>
      <w:r w:rsidRPr="001C6291">
        <w:rPr>
          <w:rFonts w:hint="eastAsia"/>
          <w:sz w:val="24"/>
          <w:szCs w:val="20"/>
        </w:rPr>
        <w:lastRenderedPageBreak/>
        <w:t>加工、造纸、印染、生物发酵、选矿、冶炼、炼焦、炼油和规模化禽畜养殖以及其他污染重的建设项目；设置生活垃圾、医疗垃圾、工业危险废物等危险废物集中转运、堆放、填埋和焚烧设施，设置危险品转运和贮存设施，新建加油站及油库；使用不符合国家有关农药安全使用和环保有关规定、标准的高毒和高残留农药；将不符合国家《生活饮用水卫生标准》和有关规定的水人工直接回灌补给地下水；建立墓地和掩埋动物尸体；利用渗坑、渗井、裂隙、溶洞以及漫流等方式排放工业废水、医疗废水和其他有毒有害废水。将剧毒、持久性和放射性废物以及含有重金属废物等危险废物直接倾倒或埋入地下。已排放、倾倒和填埋的，按国家环保有关法律、法规的规定，在限期内进行治理。</w:t>
      </w:r>
    </w:p>
    <w:p w:rsidR="001C6291" w:rsidRPr="001C6291" w:rsidRDefault="001C6291" w:rsidP="001C6291">
      <w:pPr>
        <w:pStyle w:val="20"/>
        <w:numPr>
          <w:ilvl w:val="0"/>
          <w:numId w:val="6"/>
        </w:numPr>
        <w:rPr>
          <w:rFonts w:ascii="宋体" w:eastAsia="宋体" w:hAnsi="宋体"/>
        </w:rPr>
      </w:pPr>
      <w:r w:rsidRPr="001C6291">
        <w:rPr>
          <w:rFonts w:ascii="宋体" w:eastAsia="宋体" w:hAnsi="宋体" w:hint="eastAsia"/>
        </w:rPr>
        <w:t>生活源污染</w:t>
      </w:r>
      <w:r w:rsidRPr="001C6291">
        <w:rPr>
          <w:rFonts w:ascii="宋体" w:eastAsia="宋体" w:hAnsi="宋体"/>
        </w:rPr>
        <w:t>防治</w:t>
      </w:r>
    </w:p>
    <w:p w:rsidR="001C6291" w:rsidRPr="001C6291" w:rsidRDefault="001C6291" w:rsidP="001C6291">
      <w:pPr>
        <w:spacing w:line="360" w:lineRule="auto"/>
        <w:ind w:firstLineChars="200" w:firstLine="480"/>
        <w:rPr>
          <w:sz w:val="24"/>
          <w:szCs w:val="20"/>
        </w:rPr>
      </w:pPr>
      <w:r w:rsidRPr="001C6291">
        <w:rPr>
          <w:sz w:val="24"/>
          <w:szCs w:val="20"/>
        </w:rPr>
        <w:t>衡水中心城区、各县市区城区和工业区排水体制采用分流制，乡镇及农村可视情况采用分流制、截流式合流制和合流制。</w:t>
      </w:r>
    </w:p>
    <w:p w:rsidR="001C6291" w:rsidRPr="001C6291" w:rsidRDefault="001C6291" w:rsidP="001C6291">
      <w:pPr>
        <w:spacing w:line="360" w:lineRule="auto"/>
        <w:ind w:firstLineChars="200" w:firstLine="480"/>
        <w:rPr>
          <w:sz w:val="24"/>
          <w:szCs w:val="20"/>
        </w:rPr>
      </w:pPr>
      <w:r w:rsidRPr="001C6291">
        <w:rPr>
          <w:sz w:val="24"/>
          <w:szCs w:val="20"/>
        </w:rPr>
        <w:t>规划都市区共建设</w:t>
      </w:r>
      <w:r w:rsidRPr="001C6291">
        <w:rPr>
          <w:sz w:val="24"/>
          <w:szCs w:val="20"/>
        </w:rPr>
        <w:t>12</w:t>
      </w:r>
      <w:r w:rsidRPr="001C6291">
        <w:rPr>
          <w:sz w:val="24"/>
          <w:szCs w:val="20"/>
        </w:rPr>
        <w:t>座城市污水处理厂，其中中心城区</w:t>
      </w:r>
      <w:r w:rsidRPr="001C6291">
        <w:rPr>
          <w:sz w:val="24"/>
          <w:szCs w:val="20"/>
        </w:rPr>
        <w:t>5</w:t>
      </w:r>
      <w:r w:rsidRPr="001C6291">
        <w:rPr>
          <w:sz w:val="24"/>
          <w:szCs w:val="20"/>
        </w:rPr>
        <w:t>座，冀州区</w:t>
      </w:r>
      <w:r w:rsidRPr="001C6291">
        <w:rPr>
          <w:sz w:val="24"/>
          <w:szCs w:val="20"/>
        </w:rPr>
        <w:t>3</w:t>
      </w:r>
      <w:r w:rsidRPr="001C6291">
        <w:rPr>
          <w:sz w:val="24"/>
          <w:szCs w:val="20"/>
        </w:rPr>
        <w:t>座，枣强县</w:t>
      </w:r>
      <w:r w:rsidRPr="001C6291">
        <w:rPr>
          <w:sz w:val="24"/>
          <w:szCs w:val="20"/>
        </w:rPr>
        <w:t>2</w:t>
      </w:r>
      <w:r w:rsidRPr="001C6291">
        <w:rPr>
          <w:sz w:val="24"/>
          <w:szCs w:val="20"/>
        </w:rPr>
        <w:t>座，武邑县</w:t>
      </w:r>
      <w:r w:rsidRPr="001C6291">
        <w:rPr>
          <w:sz w:val="24"/>
          <w:szCs w:val="20"/>
        </w:rPr>
        <w:t>2</w:t>
      </w:r>
      <w:r w:rsidRPr="001C6291">
        <w:rPr>
          <w:sz w:val="24"/>
          <w:szCs w:val="20"/>
        </w:rPr>
        <w:t>座，规划均配建再生水厂，出水排放标准执行一级</w:t>
      </w:r>
      <w:r w:rsidRPr="001C6291">
        <w:rPr>
          <w:sz w:val="24"/>
          <w:szCs w:val="20"/>
        </w:rPr>
        <w:t>A</w:t>
      </w:r>
      <w:r w:rsidRPr="001C6291">
        <w:rPr>
          <w:sz w:val="24"/>
          <w:szCs w:val="20"/>
        </w:rPr>
        <w:t>标准。</w:t>
      </w:r>
      <w:r w:rsidRPr="001C6291">
        <w:rPr>
          <w:rFonts w:hint="eastAsia"/>
          <w:sz w:val="24"/>
          <w:szCs w:val="20"/>
        </w:rPr>
        <w:t>至</w:t>
      </w:r>
      <w:r w:rsidRPr="001C6291">
        <w:rPr>
          <w:rFonts w:hint="eastAsia"/>
          <w:sz w:val="24"/>
          <w:szCs w:val="20"/>
        </w:rPr>
        <w:t>2020</w:t>
      </w:r>
      <w:r w:rsidRPr="001C6291">
        <w:rPr>
          <w:rFonts w:hint="eastAsia"/>
          <w:sz w:val="24"/>
          <w:szCs w:val="20"/>
        </w:rPr>
        <w:t>年</w:t>
      </w:r>
      <w:r w:rsidRPr="001C6291">
        <w:rPr>
          <w:sz w:val="24"/>
          <w:szCs w:val="20"/>
        </w:rPr>
        <w:t>，</w:t>
      </w:r>
      <w:r w:rsidRPr="001C6291">
        <w:rPr>
          <w:rFonts w:hint="eastAsia"/>
          <w:sz w:val="24"/>
          <w:szCs w:val="20"/>
        </w:rPr>
        <w:t>重点镇</w:t>
      </w:r>
      <w:r w:rsidRPr="001C6291">
        <w:rPr>
          <w:sz w:val="24"/>
          <w:szCs w:val="20"/>
        </w:rPr>
        <w:t>均配套建设污水处理厂；</w:t>
      </w:r>
      <w:r w:rsidRPr="001C6291">
        <w:rPr>
          <w:rFonts w:hint="eastAsia"/>
          <w:sz w:val="24"/>
          <w:szCs w:val="20"/>
        </w:rPr>
        <w:t>至</w:t>
      </w:r>
      <w:r w:rsidRPr="001C6291">
        <w:rPr>
          <w:sz w:val="24"/>
          <w:szCs w:val="20"/>
        </w:rPr>
        <w:t>2030</w:t>
      </w:r>
      <w:r w:rsidRPr="001C6291">
        <w:rPr>
          <w:rFonts w:hint="eastAsia"/>
          <w:sz w:val="24"/>
          <w:szCs w:val="20"/>
        </w:rPr>
        <w:t>年</w:t>
      </w:r>
      <w:r w:rsidRPr="001C6291">
        <w:rPr>
          <w:sz w:val="24"/>
          <w:szCs w:val="20"/>
        </w:rPr>
        <w:t>规划期末，其他一般乡镇基本</w:t>
      </w:r>
      <w:r w:rsidRPr="001C6291">
        <w:rPr>
          <w:rFonts w:hint="eastAsia"/>
          <w:sz w:val="24"/>
          <w:szCs w:val="20"/>
        </w:rPr>
        <w:t>配备</w:t>
      </w:r>
      <w:r w:rsidRPr="001C6291">
        <w:rPr>
          <w:sz w:val="24"/>
          <w:szCs w:val="20"/>
        </w:rPr>
        <w:t>污水处理厂或污水处理设施，出水水质应满足所在水环境功能区排放要求。</w:t>
      </w:r>
    </w:p>
    <w:p w:rsidR="001C6291" w:rsidRPr="001C6291" w:rsidRDefault="001C6291" w:rsidP="001C6291">
      <w:pPr>
        <w:spacing w:line="360" w:lineRule="auto"/>
        <w:ind w:firstLineChars="200" w:firstLine="480"/>
        <w:rPr>
          <w:sz w:val="24"/>
          <w:szCs w:val="20"/>
        </w:rPr>
      </w:pPr>
      <w:r w:rsidRPr="001C6291">
        <w:rPr>
          <w:rFonts w:hint="eastAsia"/>
          <w:sz w:val="24"/>
          <w:szCs w:val="20"/>
        </w:rPr>
        <w:t>建成区现有合流制排水系统加快实施雨污分流改造，新建污水处理设施的配套管网应同步设计、同步建设、同步投运。至</w:t>
      </w:r>
      <w:r w:rsidRPr="001C6291">
        <w:rPr>
          <w:rFonts w:hint="eastAsia"/>
          <w:sz w:val="24"/>
          <w:szCs w:val="20"/>
        </w:rPr>
        <w:t>2020</w:t>
      </w:r>
      <w:r w:rsidRPr="001C6291">
        <w:rPr>
          <w:rFonts w:hint="eastAsia"/>
          <w:sz w:val="24"/>
          <w:szCs w:val="20"/>
        </w:rPr>
        <w:t>年，配建污水厂的城市和乡镇完成主次干路、背街小巷、住宅小区、工业区道路的雨污分流管道改造和建设，具备较强的污水收集能力；至</w:t>
      </w:r>
      <w:r w:rsidRPr="001C6291">
        <w:rPr>
          <w:rFonts w:hint="eastAsia"/>
          <w:sz w:val="24"/>
          <w:szCs w:val="20"/>
        </w:rPr>
        <w:t>2030</w:t>
      </w:r>
      <w:r w:rsidRPr="001C6291">
        <w:rPr>
          <w:rFonts w:hint="eastAsia"/>
          <w:sz w:val="24"/>
          <w:szCs w:val="20"/>
        </w:rPr>
        <w:t>年，建成完善的城市地下管网体系，城市地区实现污水收集率</w:t>
      </w:r>
      <w:r w:rsidRPr="001C6291">
        <w:rPr>
          <w:rFonts w:hint="eastAsia"/>
          <w:sz w:val="24"/>
          <w:szCs w:val="20"/>
        </w:rPr>
        <w:t>100%</w:t>
      </w:r>
      <w:r w:rsidRPr="001C6291">
        <w:rPr>
          <w:rFonts w:hint="eastAsia"/>
          <w:sz w:val="24"/>
          <w:szCs w:val="20"/>
        </w:rPr>
        <w:t>，乡镇地区实现污水收集率</w:t>
      </w:r>
      <w:r w:rsidRPr="001C6291">
        <w:rPr>
          <w:rFonts w:hint="eastAsia"/>
          <w:sz w:val="24"/>
          <w:szCs w:val="20"/>
        </w:rPr>
        <w:t>95%</w:t>
      </w:r>
      <w:r w:rsidRPr="001C6291">
        <w:rPr>
          <w:rFonts w:hint="eastAsia"/>
          <w:sz w:val="24"/>
          <w:szCs w:val="20"/>
        </w:rPr>
        <w:t>。</w:t>
      </w:r>
    </w:p>
    <w:p w:rsidR="001C6291" w:rsidRPr="001C6291" w:rsidRDefault="001C6291" w:rsidP="001C6291">
      <w:pPr>
        <w:spacing w:line="360" w:lineRule="auto"/>
        <w:ind w:firstLineChars="200" w:firstLine="480"/>
        <w:rPr>
          <w:sz w:val="24"/>
          <w:szCs w:val="20"/>
        </w:rPr>
      </w:pPr>
      <w:r w:rsidRPr="001C6291">
        <w:rPr>
          <w:rFonts w:hint="eastAsia"/>
          <w:sz w:val="24"/>
          <w:szCs w:val="20"/>
        </w:rPr>
        <w:t>污泥处理</w:t>
      </w:r>
      <w:r w:rsidRPr="001C6291">
        <w:rPr>
          <w:sz w:val="24"/>
          <w:szCs w:val="20"/>
        </w:rPr>
        <w:t>遵循</w:t>
      </w:r>
      <w:r w:rsidRPr="001C6291">
        <w:rPr>
          <w:rFonts w:hint="eastAsia"/>
          <w:sz w:val="24"/>
          <w:szCs w:val="20"/>
        </w:rPr>
        <w:t>“减量化、无害化、稳定化”的</w:t>
      </w:r>
      <w:r w:rsidRPr="001C6291">
        <w:rPr>
          <w:sz w:val="24"/>
          <w:szCs w:val="20"/>
        </w:rPr>
        <w:t>处理原则，建设污泥无害化处置设施，</w:t>
      </w:r>
      <w:r w:rsidRPr="001C6291">
        <w:rPr>
          <w:rFonts w:hint="eastAsia"/>
          <w:sz w:val="24"/>
          <w:szCs w:val="20"/>
        </w:rPr>
        <w:t>严禁未</w:t>
      </w:r>
      <w:r w:rsidRPr="001C6291">
        <w:rPr>
          <w:sz w:val="24"/>
          <w:szCs w:val="20"/>
        </w:rPr>
        <w:t>达标污泥污染农田耕地</w:t>
      </w:r>
      <w:r w:rsidRPr="001C6291">
        <w:rPr>
          <w:rFonts w:hint="eastAsia"/>
          <w:sz w:val="24"/>
          <w:szCs w:val="20"/>
        </w:rPr>
        <w:t>。</w:t>
      </w:r>
    </w:p>
    <w:p w:rsidR="001C6291" w:rsidRPr="001C6291" w:rsidRDefault="001C6291" w:rsidP="001C6291">
      <w:pPr>
        <w:pStyle w:val="20"/>
        <w:numPr>
          <w:ilvl w:val="0"/>
          <w:numId w:val="6"/>
        </w:numPr>
        <w:rPr>
          <w:rFonts w:ascii="宋体" w:eastAsia="宋体" w:hAnsi="宋体"/>
        </w:rPr>
      </w:pPr>
      <w:r w:rsidRPr="001C6291">
        <w:rPr>
          <w:rFonts w:ascii="宋体" w:eastAsia="宋体" w:hAnsi="宋体" w:hint="eastAsia"/>
        </w:rPr>
        <w:t>初期雨水污染防治</w:t>
      </w:r>
    </w:p>
    <w:p w:rsidR="001C6291" w:rsidRPr="00BB1551" w:rsidRDefault="001C6291" w:rsidP="001C6291">
      <w:pPr>
        <w:spacing w:line="360" w:lineRule="auto"/>
        <w:ind w:firstLineChars="200" w:firstLine="480"/>
        <w:rPr>
          <w:color w:val="000000" w:themeColor="text1"/>
          <w:sz w:val="24"/>
          <w:szCs w:val="20"/>
        </w:rPr>
      </w:pPr>
      <w:r w:rsidRPr="00BB1551">
        <w:rPr>
          <w:rFonts w:hint="eastAsia"/>
          <w:color w:val="000000" w:themeColor="text1"/>
          <w:sz w:val="24"/>
          <w:szCs w:val="20"/>
        </w:rPr>
        <w:t>保护现有的河流、湿地、沟渠等城市自然水体，利用城市自然水体设计湿塘、雨水湿地等具有雨水调蓄与净化功能的低影响开发设施。在居住小区的绿地、公</w:t>
      </w:r>
      <w:r w:rsidRPr="00BB1551">
        <w:rPr>
          <w:rFonts w:hint="eastAsia"/>
          <w:color w:val="000000" w:themeColor="text1"/>
          <w:sz w:val="24"/>
          <w:szCs w:val="20"/>
        </w:rPr>
        <w:lastRenderedPageBreak/>
        <w:t>共绿地、公园等地区设计可消纳径流雨水的调蓄设施，包括下凹式绿地、植草沟、雨水湿地等低影响开发形式，并</w:t>
      </w:r>
      <w:r w:rsidR="00D77D06" w:rsidRPr="00BB1551">
        <w:rPr>
          <w:rFonts w:hint="eastAsia"/>
          <w:color w:val="000000" w:themeColor="text1"/>
          <w:sz w:val="24"/>
          <w:szCs w:val="20"/>
        </w:rPr>
        <w:t>设置</w:t>
      </w:r>
      <w:r w:rsidRPr="00BB1551">
        <w:rPr>
          <w:rFonts w:hint="eastAsia"/>
          <w:color w:val="000000" w:themeColor="text1"/>
          <w:sz w:val="24"/>
          <w:szCs w:val="20"/>
        </w:rPr>
        <w:t>沉淀池、前置塘等对初期雨水进行预处理，防止污染。提高路面、广场、停车场的透水铺装覆盖率，优化道路横坡坡向、路面与道路绿化带及周边绿地的竖向关系等，便于径流雨水汇入低影响开发设施。完善雨水管渠系统的建设，与雨水调蓄设施的设计相结合，排放超标雨水，避免城市内涝。</w:t>
      </w:r>
    </w:p>
    <w:p w:rsidR="001C6291" w:rsidRPr="001C6291" w:rsidRDefault="001C6291" w:rsidP="001C6291">
      <w:pPr>
        <w:pStyle w:val="20"/>
        <w:numPr>
          <w:ilvl w:val="0"/>
          <w:numId w:val="6"/>
        </w:numPr>
        <w:rPr>
          <w:rFonts w:ascii="宋体" w:eastAsia="宋体" w:hAnsi="宋体"/>
        </w:rPr>
      </w:pPr>
      <w:r w:rsidRPr="001C6291">
        <w:rPr>
          <w:rFonts w:ascii="宋体" w:eastAsia="宋体" w:hAnsi="宋体" w:hint="eastAsia"/>
        </w:rPr>
        <w:t>工业源污染防治</w:t>
      </w:r>
    </w:p>
    <w:p w:rsidR="001C6291" w:rsidRPr="001C6291" w:rsidRDefault="001C6291" w:rsidP="001C6291">
      <w:pPr>
        <w:spacing w:line="360" w:lineRule="auto"/>
        <w:ind w:firstLineChars="200" w:firstLine="480"/>
        <w:rPr>
          <w:sz w:val="24"/>
          <w:szCs w:val="20"/>
        </w:rPr>
      </w:pPr>
      <w:r w:rsidRPr="001C6291">
        <w:rPr>
          <w:rFonts w:hint="eastAsia"/>
          <w:sz w:val="24"/>
          <w:szCs w:val="20"/>
        </w:rPr>
        <w:t>加强工业污染源控制，严格控制强污染性工业企业的废水排放强度，加大主要污染物减排力度，对重点行业实行全行业排污总量控制，并鼓励行业同类整合与集中管理，解决区域性、结构性的污染问题。</w:t>
      </w:r>
    </w:p>
    <w:p w:rsidR="001C6291" w:rsidRPr="001C6291" w:rsidRDefault="001C6291" w:rsidP="001C6291">
      <w:pPr>
        <w:spacing w:line="360" w:lineRule="auto"/>
        <w:ind w:firstLineChars="200" w:firstLine="480"/>
        <w:rPr>
          <w:sz w:val="24"/>
          <w:szCs w:val="20"/>
        </w:rPr>
      </w:pPr>
      <w:r w:rsidRPr="001C6291">
        <w:rPr>
          <w:rFonts w:hint="eastAsia"/>
          <w:sz w:val="24"/>
          <w:szCs w:val="20"/>
        </w:rPr>
        <w:t>提高工业污水处理率，</w:t>
      </w:r>
      <w:r w:rsidRPr="001C6291">
        <w:rPr>
          <w:sz w:val="24"/>
          <w:szCs w:val="20"/>
        </w:rPr>
        <w:t>提高</w:t>
      </w:r>
      <w:r w:rsidRPr="001C6291">
        <w:rPr>
          <w:rFonts w:hint="eastAsia"/>
          <w:sz w:val="24"/>
          <w:szCs w:val="20"/>
        </w:rPr>
        <w:t>出水</w:t>
      </w:r>
      <w:r w:rsidRPr="001C6291">
        <w:rPr>
          <w:sz w:val="24"/>
          <w:szCs w:val="20"/>
        </w:rPr>
        <w:t>水质标准</w:t>
      </w:r>
      <w:r w:rsidRPr="001C6291">
        <w:rPr>
          <w:rFonts w:hint="eastAsia"/>
          <w:sz w:val="24"/>
          <w:szCs w:val="20"/>
        </w:rPr>
        <w:t>。清查</w:t>
      </w:r>
      <w:r w:rsidRPr="001C6291">
        <w:rPr>
          <w:sz w:val="24"/>
          <w:szCs w:val="20"/>
        </w:rPr>
        <w:t>区域内</w:t>
      </w:r>
      <w:r w:rsidRPr="001C6291">
        <w:rPr>
          <w:rFonts w:hint="eastAsia"/>
          <w:sz w:val="24"/>
          <w:szCs w:val="20"/>
        </w:rPr>
        <w:t>废水直排</w:t>
      </w:r>
      <w:r w:rsidRPr="001C6291">
        <w:rPr>
          <w:sz w:val="24"/>
          <w:szCs w:val="20"/>
        </w:rPr>
        <w:t>企业</w:t>
      </w:r>
      <w:r w:rsidRPr="001C6291">
        <w:rPr>
          <w:rFonts w:hint="eastAsia"/>
          <w:sz w:val="24"/>
          <w:szCs w:val="20"/>
        </w:rPr>
        <w:t>，纳入</w:t>
      </w:r>
      <w:r w:rsidRPr="001C6291">
        <w:rPr>
          <w:sz w:val="24"/>
          <w:szCs w:val="20"/>
        </w:rPr>
        <w:t>污水处理系统，处理达标后排放。</w:t>
      </w:r>
      <w:r w:rsidRPr="001C6291">
        <w:rPr>
          <w:rFonts w:hint="eastAsia"/>
          <w:sz w:val="24"/>
          <w:szCs w:val="20"/>
        </w:rPr>
        <w:t>工业园区（工业集聚区）内各企业工业废水必须经预处理达到集中处理标准后，方可进入园区污水集中处理设施。新建、升级工业集聚区应同步规划、建设污水、垃圾集中处理等污染治理设施。</w:t>
      </w:r>
    </w:p>
    <w:p w:rsidR="001C6291" w:rsidRPr="001C6291" w:rsidRDefault="001C6291" w:rsidP="001C6291">
      <w:pPr>
        <w:spacing w:line="360" w:lineRule="auto"/>
        <w:ind w:firstLineChars="200" w:firstLine="480"/>
        <w:rPr>
          <w:sz w:val="24"/>
          <w:szCs w:val="20"/>
        </w:rPr>
      </w:pPr>
      <w:r w:rsidRPr="001C6291">
        <w:rPr>
          <w:rFonts w:hint="eastAsia"/>
          <w:sz w:val="24"/>
          <w:szCs w:val="20"/>
        </w:rPr>
        <w:t>加大工业企业污染防治监察力度，继续实施环境影响评价和建设项目“三同时”制度，严格控制新污染源的产生。</w:t>
      </w:r>
      <w:r w:rsidRPr="001C6291">
        <w:rPr>
          <w:sz w:val="24"/>
          <w:szCs w:val="20"/>
        </w:rPr>
        <w:t>对上一年度水体不能达到目标要求或未完成水污染物总量减排任务的区域暂停审批新增排放水污染物的建设项目。</w:t>
      </w:r>
    </w:p>
    <w:p w:rsidR="001C6291" w:rsidRPr="001C6291" w:rsidRDefault="001C6291" w:rsidP="001C6291">
      <w:pPr>
        <w:spacing w:line="360" w:lineRule="auto"/>
        <w:ind w:firstLineChars="200" w:firstLine="480"/>
        <w:rPr>
          <w:sz w:val="24"/>
          <w:szCs w:val="20"/>
        </w:rPr>
      </w:pPr>
      <w:r w:rsidRPr="001C6291">
        <w:rPr>
          <w:rFonts w:hint="eastAsia"/>
          <w:sz w:val="24"/>
          <w:szCs w:val="20"/>
        </w:rPr>
        <w:t>工业园区、重点行业、重点企业逐步安装含特征污染物的自动监测监控系统，达到实时监控、及时预警要求。</w:t>
      </w:r>
    </w:p>
    <w:p w:rsidR="001C6291" w:rsidRPr="001C6291" w:rsidRDefault="001C6291" w:rsidP="001C6291">
      <w:pPr>
        <w:pStyle w:val="20"/>
        <w:numPr>
          <w:ilvl w:val="0"/>
          <w:numId w:val="6"/>
        </w:numPr>
        <w:rPr>
          <w:rFonts w:ascii="宋体" w:eastAsia="宋体" w:hAnsi="宋体"/>
        </w:rPr>
      </w:pPr>
      <w:r w:rsidRPr="001C6291">
        <w:rPr>
          <w:rFonts w:ascii="宋体" w:eastAsia="宋体" w:hAnsi="宋体" w:hint="eastAsia"/>
        </w:rPr>
        <w:t>农业源污染防治</w:t>
      </w:r>
    </w:p>
    <w:p w:rsidR="001C6291" w:rsidRPr="001C6291" w:rsidRDefault="001C6291" w:rsidP="001C6291">
      <w:pPr>
        <w:spacing w:line="360" w:lineRule="auto"/>
        <w:ind w:firstLineChars="200" w:firstLine="480"/>
        <w:rPr>
          <w:sz w:val="24"/>
          <w:szCs w:val="20"/>
        </w:rPr>
      </w:pPr>
      <w:r w:rsidRPr="001C6291">
        <w:rPr>
          <w:rFonts w:hint="eastAsia"/>
          <w:sz w:val="24"/>
          <w:szCs w:val="20"/>
        </w:rPr>
        <w:t>大力发展绿色有机农业，推广测土配方施肥技术</w:t>
      </w:r>
      <w:r w:rsidRPr="001C6291">
        <w:rPr>
          <w:sz w:val="24"/>
          <w:szCs w:val="20"/>
        </w:rPr>
        <w:t>和化肥减量增效技术，</w:t>
      </w:r>
      <w:r w:rsidRPr="001C6291">
        <w:rPr>
          <w:rFonts w:hint="eastAsia"/>
          <w:sz w:val="24"/>
          <w:szCs w:val="20"/>
        </w:rPr>
        <w:t>以</w:t>
      </w:r>
      <w:r w:rsidRPr="001C6291">
        <w:rPr>
          <w:sz w:val="24"/>
          <w:szCs w:val="20"/>
        </w:rPr>
        <w:t>用肥量大的玉米、蔬菜、果树等作物作为重点，首先在冀州区和清凉江沿岸推广配方肥、有机肥的使用，逐步扩展到规划区全域，实现规划期末化肥用量零增长</w:t>
      </w:r>
      <w:r w:rsidRPr="001C6291">
        <w:rPr>
          <w:rFonts w:hint="eastAsia"/>
          <w:sz w:val="24"/>
          <w:szCs w:val="20"/>
        </w:rPr>
        <w:t>。</w:t>
      </w:r>
    </w:p>
    <w:p w:rsidR="001C6291" w:rsidRPr="001C6291" w:rsidRDefault="001C6291" w:rsidP="001C6291">
      <w:pPr>
        <w:spacing w:line="360" w:lineRule="auto"/>
        <w:ind w:firstLineChars="200" w:firstLine="480"/>
        <w:rPr>
          <w:sz w:val="24"/>
          <w:szCs w:val="20"/>
        </w:rPr>
      </w:pPr>
      <w:r w:rsidRPr="001C6291">
        <w:rPr>
          <w:sz w:val="24"/>
          <w:szCs w:val="20"/>
        </w:rPr>
        <w:t>开展节水农业建设，</w:t>
      </w:r>
      <w:r w:rsidRPr="001C6291">
        <w:rPr>
          <w:rFonts w:hint="eastAsia"/>
          <w:sz w:val="24"/>
          <w:szCs w:val="20"/>
        </w:rPr>
        <w:t>培育</w:t>
      </w:r>
      <w:r w:rsidRPr="001C6291">
        <w:rPr>
          <w:sz w:val="24"/>
          <w:szCs w:val="20"/>
        </w:rPr>
        <w:t>节水品种，</w:t>
      </w:r>
      <w:r w:rsidRPr="001C6291">
        <w:rPr>
          <w:rFonts w:hint="eastAsia"/>
          <w:sz w:val="24"/>
          <w:szCs w:val="20"/>
        </w:rPr>
        <w:t>推广滴灌、喷灌等节水灌溉技术，</w:t>
      </w:r>
      <w:r w:rsidRPr="001C6291">
        <w:rPr>
          <w:sz w:val="24"/>
          <w:szCs w:val="20"/>
        </w:rPr>
        <w:t>对田间机井实行统一管理，逐步取缔畦灌、漫灌等传统灌溉方式，提高农业灌溉水有效利用系数。</w:t>
      </w:r>
    </w:p>
    <w:p w:rsidR="001C6291" w:rsidRPr="001C6291" w:rsidRDefault="001C6291" w:rsidP="001C6291">
      <w:pPr>
        <w:spacing w:line="360" w:lineRule="auto"/>
        <w:ind w:firstLineChars="200" w:firstLine="480"/>
        <w:rPr>
          <w:sz w:val="24"/>
          <w:szCs w:val="20"/>
        </w:rPr>
      </w:pPr>
      <w:r w:rsidRPr="001C6291">
        <w:rPr>
          <w:sz w:val="24"/>
          <w:szCs w:val="20"/>
        </w:rPr>
        <w:t>划定</w:t>
      </w:r>
      <w:r w:rsidRPr="001C6291">
        <w:rPr>
          <w:rFonts w:hint="eastAsia"/>
          <w:sz w:val="24"/>
          <w:szCs w:val="20"/>
        </w:rPr>
        <w:t>Ⅰ</w:t>
      </w:r>
      <w:r w:rsidRPr="001C6291">
        <w:rPr>
          <w:sz w:val="24"/>
          <w:szCs w:val="20"/>
        </w:rPr>
        <w:t>、</w:t>
      </w:r>
      <w:r w:rsidRPr="001C6291">
        <w:rPr>
          <w:rFonts w:hint="eastAsia"/>
          <w:sz w:val="24"/>
          <w:szCs w:val="20"/>
        </w:rPr>
        <w:t>Ⅱ</w:t>
      </w:r>
      <w:r w:rsidRPr="001C6291">
        <w:rPr>
          <w:sz w:val="24"/>
          <w:szCs w:val="20"/>
        </w:rPr>
        <w:t>类水环境功能区为畜禽养殖禁养区，搬迁或关闭</w:t>
      </w:r>
      <w:r w:rsidRPr="001C6291">
        <w:rPr>
          <w:rFonts w:hint="eastAsia"/>
          <w:sz w:val="24"/>
          <w:szCs w:val="20"/>
        </w:rPr>
        <w:t>Ⅰ</w:t>
      </w:r>
      <w:r w:rsidRPr="001C6291">
        <w:rPr>
          <w:sz w:val="24"/>
          <w:szCs w:val="20"/>
        </w:rPr>
        <w:t>、</w:t>
      </w:r>
      <w:r w:rsidRPr="001C6291">
        <w:rPr>
          <w:rFonts w:hint="eastAsia"/>
          <w:sz w:val="24"/>
          <w:szCs w:val="20"/>
        </w:rPr>
        <w:t>Ⅱ</w:t>
      </w:r>
      <w:r w:rsidRPr="001C6291">
        <w:rPr>
          <w:sz w:val="24"/>
          <w:szCs w:val="20"/>
        </w:rPr>
        <w:t>类水环境</w:t>
      </w:r>
      <w:r w:rsidRPr="001C6291">
        <w:rPr>
          <w:sz w:val="24"/>
          <w:szCs w:val="20"/>
        </w:rPr>
        <w:lastRenderedPageBreak/>
        <w:t>功能区内现有畜禽养殖场或养殖专业户；其他区域现有的规模化畜禽养殖场配套建设污水贮存、处理、利用设施，关闭规模小、分散的畜禽养殖场；新建的规模化养殖场实施雨污分流，分片污水资源化利用。</w:t>
      </w:r>
    </w:p>
    <w:p w:rsidR="001C6291" w:rsidRPr="001C6291" w:rsidRDefault="001C6291" w:rsidP="001C6291">
      <w:pPr>
        <w:spacing w:line="360" w:lineRule="auto"/>
        <w:ind w:firstLineChars="200" w:firstLine="480"/>
        <w:rPr>
          <w:sz w:val="24"/>
          <w:szCs w:val="20"/>
        </w:rPr>
      </w:pPr>
      <w:r w:rsidRPr="001C6291">
        <w:rPr>
          <w:rFonts w:hint="eastAsia"/>
          <w:sz w:val="24"/>
          <w:szCs w:val="20"/>
        </w:rPr>
        <w:t>推进大中型灌区农田排水和地表径流净化工程，利用现有沟、塘、窑等，配置水生植物群落、格栅和透水坝，建设生态沟渠、污水净化塘、地表径流集蓄池等设施，减少农田退水污染。</w:t>
      </w:r>
    </w:p>
    <w:p w:rsidR="001C6291" w:rsidRPr="001C6291" w:rsidRDefault="001C6291" w:rsidP="001C6291">
      <w:pPr>
        <w:pStyle w:val="20"/>
        <w:numPr>
          <w:ilvl w:val="0"/>
          <w:numId w:val="6"/>
        </w:numPr>
        <w:rPr>
          <w:rFonts w:ascii="宋体" w:eastAsia="宋体" w:hAnsi="宋体"/>
        </w:rPr>
      </w:pPr>
      <w:r w:rsidRPr="001C6291">
        <w:rPr>
          <w:rFonts w:ascii="宋体" w:eastAsia="宋体" w:hAnsi="宋体" w:hint="eastAsia"/>
        </w:rPr>
        <w:t>外来源污染防治</w:t>
      </w:r>
    </w:p>
    <w:p w:rsidR="001C6291" w:rsidRPr="001C6291" w:rsidRDefault="001C6291" w:rsidP="001C6291">
      <w:pPr>
        <w:spacing w:line="360" w:lineRule="auto"/>
        <w:ind w:firstLineChars="200" w:firstLine="480"/>
        <w:rPr>
          <w:sz w:val="24"/>
          <w:szCs w:val="20"/>
        </w:rPr>
      </w:pPr>
      <w:r w:rsidRPr="001C6291">
        <w:rPr>
          <w:rFonts w:hint="eastAsia"/>
          <w:sz w:val="24"/>
          <w:szCs w:val="20"/>
        </w:rPr>
        <w:t>完善跨境断面水质监测网，</w:t>
      </w:r>
      <w:r w:rsidRPr="001C6291">
        <w:rPr>
          <w:sz w:val="24"/>
          <w:szCs w:val="20"/>
        </w:rPr>
        <w:t>增加</w:t>
      </w:r>
      <w:r w:rsidRPr="001C6291">
        <w:rPr>
          <w:rFonts w:hint="eastAsia"/>
          <w:sz w:val="24"/>
          <w:szCs w:val="20"/>
        </w:rPr>
        <w:t>清凉江入境断面和滏东排河、滹沱河各跨县界考核断面水质、水量同步监测，对入</w:t>
      </w:r>
      <w:r w:rsidRPr="001C6291">
        <w:rPr>
          <w:sz w:val="24"/>
          <w:szCs w:val="20"/>
        </w:rPr>
        <w:t>境及出境水资源进行评估，针对入境</w:t>
      </w:r>
      <w:r w:rsidRPr="001C6291">
        <w:rPr>
          <w:rFonts w:hint="eastAsia"/>
          <w:sz w:val="24"/>
          <w:szCs w:val="20"/>
        </w:rPr>
        <w:t>河流</w:t>
      </w:r>
      <w:r w:rsidRPr="001C6291">
        <w:rPr>
          <w:sz w:val="24"/>
          <w:szCs w:val="20"/>
        </w:rPr>
        <w:t>水质</w:t>
      </w:r>
      <w:r w:rsidRPr="001C6291">
        <w:rPr>
          <w:rFonts w:hint="eastAsia"/>
          <w:sz w:val="24"/>
          <w:szCs w:val="20"/>
        </w:rPr>
        <w:t>进行</w:t>
      </w:r>
      <w:r w:rsidRPr="001C6291">
        <w:rPr>
          <w:sz w:val="24"/>
          <w:szCs w:val="20"/>
        </w:rPr>
        <w:t>评估，科学合理评估</w:t>
      </w:r>
      <w:r w:rsidRPr="001C6291">
        <w:rPr>
          <w:rFonts w:hint="eastAsia"/>
          <w:sz w:val="24"/>
          <w:szCs w:val="20"/>
        </w:rPr>
        <w:t>衡水市</w:t>
      </w:r>
      <w:r w:rsidRPr="001C6291">
        <w:rPr>
          <w:sz w:val="24"/>
          <w:szCs w:val="20"/>
        </w:rPr>
        <w:t>境内</w:t>
      </w:r>
      <w:r w:rsidRPr="001C6291">
        <w:rPr>
          <w:rFonts w:hint="eastAsia"/>
          <w:sz w:val="24"/>
          <w:szCs w:val="20"/>
        </w:rPr>
        <w:t>河流</w:t>
      </w:r>
      <w:r w:rsidRPr="001C6291">
        <w:rPr>
          <w:sz w:val="24"/>
          <w:szCs w:val="20"/>
        </w:rPr>
        <w:t>水质变化。</w:t>
      </w:r>
    </w:p>
    <w:p w:rsidR="001C6291" w:rsidRDefault="001C6291" w:rsidP="001C6291">
      <w:pPr>
        <w:spacing w:line="360" w:lineRule="auto"/>
        <w:ind w:firstLineChars="200" w:firstLine="480"/>
        <w:rPr>
          <w:sz w:val="24"/>
          <w:szCs w:val="20"/>
        </w:rPr>
      </w:pPr>
      <w:r w:rsidRPr="001C6291">
        <w:rPr>
          <w:rFonts w:hint="eastAsia"/>
          <w:sz w:val="24"/>
          <w:szCs w:val="20"/>
        </w:rPr>
        <w:t>加强</w:t>
      </w:r>
      <w:r w:rsidRPr="001C6291">
        <w:rPr>
          <w:sz w:val="24"/>
          <w:szCs w:val="20"/>
        </w:rPr>
        <w:t>市域合作，</w:t>
      </w:r>
      <w:r w:rsidRPr="001C6291">
        <w:rPr>
          <w:rFonts w:hint="eastAsia"/>
          <w:sz w:val="24"/>
          <w:szCs w:val="20"/>
        </w:rPr>
        <w:t>跨流域</w:t>
      </w:r>
      <w:r w:rsidRPr="001C6291">
        <w:rPr>
          <w:sz w:val="24"/>
          <w:szCs w:val="20"/>
        </w:rPr>
        <w:t>规划管理河流</w:t>
      </w:r>
      <w:r w:rsidRPr="001C6291">
        <w:rPr>
          <w:rFonts w:hint="eastAsia"/>
          <w:sz w:val="24"/>
          <w:szCs w:val="20"/>
        </w:rPr>
        <w:t>污染</w:t>
      </w:r>
      <w:r w:rsidRPr="001C6291">
        <w:rPr>
          <w:sz w:val="24"/>
          <w:szCs w:val="20"/>
        </w:rPr>
        <w:t>治理工作。</w:t>
      </w:r>
      <w:r w:rsidRPr="001C6291">
        <w:rPr>
          <w:rFonts w:hint="eastAsia"/>
          <w:sz w:val="24"/>
          <w:szCs w:val="20"/>
        </w:rPr>
        <w:t>按照流域协调、区域联动的原则，对跨区域的主要河流要进行统一规划、统一标准，做好顶层设计，明确生态水量及水质目标，合理制定河流纳污总量控制及水质达标方案，加强跨界水体的联合保护，强化跨界劣Ⅴ类水体、黑臭水体的联合治理。</w:t>
      </w:r>
      <w:bookmarkEnd w:id="13"/>
      <w:bookmarkEnd w:id="14"/>
      <w:bookmarkEnd w:id="15"/>
    </w:p>
    <w:p w:rsidR="001C6291" w:rsidRPr="001C6291" w:rsidRDefault="001C6291" w:rsidP="001C6291">
      <w:pPr>
        <w:spacing w:line="360" w:lineRule="auto"/>
        <w:ind w:firstLineChars="200" w:firstLine="480"/>
        <w:rPr>
          <w:sz w:val="24"/>
          <w:szCs w:val="20"/>
        </w:rPr>
      </w:pPr>
    </w:p>
    <w:p w:rsidR="001C6291" w:rsidRPr="001C6291" w:rsidRDefault="001C6291" w:rsidP="001C6291">
      <w:pPr>
        <w:pStyle w:val="1"/>
        <w:numPr>
          <w:ilvl w:val="0"/>
          <w:numId w:val="7"/>
        </w:numPr>
      </w:pPr>
      <w:bookmarkStart w:id="16" w:name="_Toc513638722"/>
      <w:r w:rsidRPr="001C6291">
        <w:rPr>
          <w:rFonts w:hint="eastAsia"/>
        </w:rPr>
        <w:t>大气环境污染防治规划</w:t>
      </w:r>
      <w:bookmarkEnd w:id="16"/>
    </w:p>
    <w:p w:rsidR="001C6291" w:rsidRPr="001C6291" w:rsidRDefault="001C6291" w:rsidP="001C6291">
      <w:pPr>
        <w:pStyle w:val="20"/>
        <w:numPr>
          <w:ilvl w:val="0"/>
          <w:numId w:val="8"/>
        </w:numPr>
        <w:rPr>
          <w:rFonts w:ascii="宋体" w:eastAsia="宋体" w:hAnsi="宋体"/>
        </w:rPr>
      </w:pPr>
      <w:r w:rsidRPr="001C6291">
        <w:rPr>
          <w:rFonts w:ascii="宋体" w:eastAsia="宋体" w:hAnsi="宋体" w:hint="eastAsia"/>
        </w:rPr>
        <w:t>大气功能区划</w:t>
      </w:r>
    </w:p>
    <w:p w:rsidR="001C6291" w:rsidRPr="001C6291" w:rsidRDefault="001C6291" w:rsidP="001C6291">
      <w:pPr>
        <w:spacing w:line="360" w:lineRule="auto"/>
        <w:ind w:firstLineChars="200" w:firstLine="480"/>
        <w:rPr>
          <w:sz w:val="24"/>
          <w:szCs w:val="20"/>
        </w:rPr>
      </w:pPr>
      <w:r w:rsidRPr="001C6291">
        <w:rPr>
          <w:rFonts w:hint="eastAsia"/>
          <w:sz w:val="24"/>
          <w:szCs w:val="20"/>
        </w:rPr>
        <w:t>（</w:t>
      </w:r>
      <w:r w:rsidRPr="001C6291">
        <w:rPr>
          <w:sz w:val="24"/>
          <w:szCs w:val="20"/>
        </w:rPr>
        <w:t>1</w:t>
      </w:r>
      <w:r w:rsidRPr="001C6291">
        <w:rPr>
          <w:sz w:val="24"/>
          <w:szCs w:val="20"/>
        </w:rPr>
        <w:t>）环境空气质量一类功能区</w:t>
      </w:r>
    </w:p>
    <w:p w:rsidR="001C6291" w:rsidRPr="001C6291" w:rsidRDefault="001C6291" w:rsidP="001C6291">
      <w:pPr>
        <w:spacing w:line="360" w:lineRule="auto"/>
        <w:ind w:firstLineChars="200" w:firstLine="480"/>
        <w:rPr>
          <w:sz w:val="24"/>
          <w:szCs w:val="20"/>
        </w:rPr>
      </w:pPr>
      <w:r w:rsidRPr="001C6291">
        <w:rPr>
          <w:rFonts w:hint="eastAsia"/>
          <w:sz w:val="24"/>
          <w:szCs w:val="20"/>
        </w:rPr>
        <w:t>划定河北衡水湖国家级自然保护区所辖范围为环境空气质量一类功能区。一类区执行环境空气质量一级标准（</w:t>
      </w:r>
      <w:r w:rsidRPr="001C6291">
        <w:rPr>
          <w:sz w:val="24"/>
          <w:szCs w:val="20"/>
        </w:rPr>
        <w:t>GB3095-2012</w:t>
      </w:r>
      <w:r w:rsidRPr="001C6291">
        <w:rPr>
          <w:sz w:val="24"/>
          <w:szCs w:val="20"/>
        </w:rPr>
        <w:t>），污染物排放执行《大气污染物综合排放标准》（</w:t>
      </w:r>
      <w:r w:rsidRPr="001C6291">
        <w:rPr>
          <w:sz w:val="24"/>
          <w:szCs w:val="20"/>
        </w:rPr>
        <w:t>GB16297-1996</w:t>
      </w:r>
      <w:r w:rsidRPr="001C6291">
        <w:rPr>
          <w:sz w:val="24"/>
          <w:szCs w:val="20"/>
        </w:rPr>
        <w:t>）一级标准。</w:t>
      </w:r>
    </w:p>
    <w:p w:rsidR="001C6291" w:rsidRPr="001C6291" w:rsidRDefault="001C6291" w:rsidP="001C6291">
      <w:pPr>
        <w:spacing w:line="360" w:lineRule="auto"/>
        <w:ind w:firstLineChars="200" w:firstLine="480"/>
        <w:rPr>
          <w:sz w:val="24"/>
          <w:szCs w:val="20"/>
        </w:rPr>
      </w:pPr>
      <w:r w:rsidRPr="001C6291">
        <w:rPr>
          <w:rFonts w:hint="eastAsia"/>
          <w:sz w:val="24"/>
          <w:szCs w:val="20"/>
        </w:rPr>
        <w:t>（</w:t>
      </w:r>
      <w:r w:rsidRPr="001C6291">
        <w:rPr>
          <w:sz w:val="24"/>
          <w:szCs w:val="20"/>
        </w:rPr>
        <w:t>2</w:t>
      </w:r>
      <w:r w:rsidRPr="001C6291">
        <w:rPr>
          <w:sz w:val="24"/>
          <w:szCs w:val="20"/>
        </w:rPr>
        <w:t>）环境空气质量二类功能区</w:t>
      </w:r>
      <w:r w:rsidRPr="001C6291">
        <w:rPr>
          <w:sz w:val="24"/>
          <w:szCs w:val="20"/>
        </w:rPr>
        <w:t xml:space="preserve"> </w:t>
      </w:r>
    </w:p>
    <w:p w:rsidR="001C6291" w:rsidRDefault="001C6291" w:rsidP="001C6291">
      <w:pPr>
        <w:spacing w:line="360" w:lineRule="auto"/>
        <w:ind w:firstLineChars="200" w:firstLine="480"/>
        <w:rPr>
          <w:sz w:val="24"/>
          <w:szCs w:val="20"/>
        </w:rPr>
      </w:pPr>
      <w:r w:rsidRPr="001C6291">
        <w:rPr>
          <w:sz w:val="24"/>
          <w:szCs w:val="20"/>
        </w:rPr>
        <w:t>都市区辖区内除一类区以外的区域</w:t>
      </w:r>
      <w:r w:rsidRPr="001C6291">
        <w:rPr>
          <w:rFonts w:hint="eastAsia"/>
          <w:sz w:val="24"/>
          <w:szCs w:val="20"/>
        </w:rPr>
        <w:t>为</w:t>
      </w:r>
      <w:r w:rsidRPr="001C6291">
        <w:rPr>
          <w:sz w:val="24"/>
          <w:szCs w:val="20"/>
        </w:rPr>
        <w:t>环境空气质量二类功能区，</w:t>
      </w:r>
      <w:r w:rsidRPr="001C6291">
        <w:rPr>
          <w:rFonts w:hint="eastAsia"/>
          <w:sz w:val="24"/>
          <w:szCs w:val="20"/>
        </w:rPr>
        <w:t>该区执行环境空气质量二级标准（</w:t>
      </w:r>
      <w:r w:rsidRPr="001C6291">
        <w:rPr>
          <w:sz w:val="24"/>
          <w:szCs w:val="20"/>
        </w:rPr>
        <w:t>GB3095-2012</w:t>
      </w:r>
      <w:r w:rsidRPr="001C6291">
        <w:rPr>
          <w:sz w:val="24"/>
          <w:szCs w:val="20"/>
        </w:rPr>
        <w:t>）。</w:t>
      </w:r>
    </w:p>
    <w:p w:rsidR="001C6291" w:rsidRPr="001C6291" w:rsidRDefault="001C6291" w:rsidP="001C6291">
      <w:pPr>
        <w:spacing w:line="360" w:lineRule="auto"/>
        <w:ind w:firstLineChars="200" w:firstLine="480"/>
        <w:rPr>
          <w:sz w:val="24"/>
          <w:szCs w:val="20"/>
        </w:rPr>
      </w:pPr>
    </w:p>
    <w:p w:rsidR="001C6291" w:rsidRPr="001C6291" w:rsidRDefault="001C6291" w:rsidP="001C6291">
      <w:pPr>
        <w:widowControl/>
        <w:numPr>
          <w:ilvl w:val="1"/>
          <w:numId w:val="2"/>
        </w:numPr>
        <w:spacing w:beforeLines="50" w:before="156" w:afterLines="50" w:after="156" w:line="276" w:lineRule="auto"/>
        <w:ind w:firstLineChars="200" w:firstLine="482"/>
        <w:jc w:val="center"/>
        <w:rPr>
          <w:rFonts w:ascii="宋体" w:hAnsi="宋体" w:cs="宋体"/>
          <w:b/>
          <w:color w:val="000000"/>
          <w:kern w:val="0"/>
          <w:sz w:val="24"/>
        </w:rPr>
      </w:pPr>
      <w:r w:rsidRPr="001C6291">
        <w:rPr>
          <w:rFonts w:ascii="宋体" w:hAnsi="宋体" w:cs="宋体"/>
          <w:b/>
          <w:color w:val="000000"/>
          <w:kern w:val="0"/>
          <w:sz w:val="24"/>
        </w:rPr>
        <w:lastRenderedPageBreak/>
        <w:t>都市区大气环境功能区划表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3073"/>
        <w:gridCol w:w="3995"/>
      </w:tblGrid>
      <w:tr w:rsidR="001C6291" w:rsidRPr="001C6291" w:rsidTr="00CE3107">
        <w:trPr>
          <w:trHeight w:val="368"/>
          <w:jc w:val="center"/>
        </w:trPr>
        <w:tc>
          <w:tcPr>
            <w:tcW w:w="740" w:type="pct"/>
            <w:shd w:val="clear" w:color="auto" w:fill="auto"/>
            <w:vAlign w:val="center"/>
          </w:tcPr>
          <w:p w:rsidR="001C6291" w:rsidRPr="001C6291" w:rsidRDefault="001C6291" w:rsidP="001C6291">
            <w:pPr>
              <w:jc w:val="center"/>
              <w:rPr>
                <w:rFonts w:ascii="宋体" w:hAnsi="宋体"/>
                <w:color w:val="000000"/>
                <w:szCs w:val="21"/>
              </w:rPr>
            </w:pPr>
            <w:r w:rsidRPr="001C6291">
              <w:rPr>
                <w:rFonts w:ascii="宋体" w:hAnsi="宋体"/>
                <w:color w:val="000000"/>
                <w:szCs w:val="21"/>
              </w:rPr>
              <w:t>区划类别</w:t>
            </w:r>
          </w:p>
        </w:tc>
        <w:tc>
          <w:tcPr>
            <w:tcW w:w="1852" w:type="pct"/>
            <w:shd w:val="clear" w:color="auto" w:fill="auto"/>
            <w:vAlign w:val="center"/>
          </w:tcPr>
          <w:p w:rsidR="001C6291" w:rsidRPr="001C6291" w:rsidRDefault="001C6291" w:rsidP="001C6291">
            <w:pPr>
              <w:jc w:val="center"/>
              <w:rPr>
                <w:rFonts w:ascii="宋体" w:hAnsi="宋体"/>
                <w:color w:val="000000"/>
                <w:szCs w:val="21"/>
              </w:rPr>
            </w:pPr>
            <w:r w:rsidRPr="001C6291">
              <w:rPr>
                <w:rFonts w:ascii="宋体" w:hAnsi="宋体"/>
                <w:color w:val="000000"/>
                <w:szCs w:val="21"/>
              </w:rPr>
              <w:t>范围</w:t>
            </w:r>
          </w:p>
        </w:tc>
        <w:tc>
          <w:tcPr>
            <w:tcW w:w="2408" w:type="pct"/>
            <w:shd w:val="clear" w:color="auto" w:fill="auto"/>
            <w:vAlign w:val="center"/>
          </w:tcPr>
          <w:p w:rsidR="001C6291" w:rsidRPr="001C6291" w:rsidRDefault="001C6291" w:rsidP="001C6291">
            <w:pPr>
              <w:jc w:val="center"/>
              <w:rPr>
                <w:rFonts w:ascii="宋体" w:hAnsi="宋体"/>
                <w:color w:val="000000"/>
                <w:szCs w:val="21"/>
              </w:rPr>
            </w:pPr>
            <w:r w:rsidRPr="001C6291">
              <w:rPr>
                <w:rFonts w:ascii="宋体" w:hAnsi="宋体"/>
                <w:color w:val="000000"/>
                <w:szCs w:val="21"/>
              </w:rPr>
              <w:t>执行标准</w:t>
            </w:r>
          </w:p>
        </w:tc>
      </w:tr>
      <w:tr w:rsidR="001C6291" w:rsidRPr="001C6291" w:rsidTr="00CE3107">
        <w:trPr>
          <w:trHeight w:val="769"/>
          <w:jc w:val="center"/>
        </w:trPr>
        <w:tc>
          <w:tcPr>
            <w:tcW w:w="740" w:type="pct"/>
            <w:shd w:val="clear" w:color="auto" w:fill="auto"/>
            <w:vAlign w:val="center"/>
          </w:tcPr>
          <w:p w:rsidR="001C6291" w:rsidRPr="001C6291" w:rsidRDefault="001C6291" w:rsidP="001C6291">
            <w:pPr>
              <w:jc w:val="center"/>
              <w:rPr>
                <w:rFonts w:ascii="宋体" w:hAnsi="宋体"/>
                <w:color w:val="000000"/>
                <w:szCs w:val="21"/>
              </w:rPr>
            </w:pPr>
            <w:r w:rsidRPr="001C6291">
              <w:rPr>
                <w:rFonts w:ascii="宋体" w:hAnsi="宋体"/>
                <w:color w:val="000000"/>
                <w:szCs w:val="21"/>
              </w:rPr>
              <w:t>一类区</w:t>
            </w:r>
          </w:p>
        </w:tc>
        <w:tc>
          <w:tcPr>
            <w:tcW w:w="1852" w:type="pct"/>
            <w:shd w:val="clear" w:color="auto" w:fill="auto"/>
            <w:vAlign w:val="center"/>
          </w:tcPr>
          <w:p w:rsidR="001C6291" w:rsidRPr="001C6291" w:rsidRDefault="001C6291" w:rsidP="001C6291">
            <w:pPr>
              <w:jc w:val="center"/>
              <w:rPr>
                <w:rFonts w:ascii="宋体" w:hAnsi="宋体"/>
                <w:color w:val="000000"/>
                <w:szCs w:val="21"/>
              </w:rPr>
            </w:pPr>
            <w:r w:rsidRPr="001C6291">
              <w:rPr>
                <w:rFonts w:ascii="宋体" w:hAnsi="宋体"/>
                <w:color w:val="000000"/>
                <w:szCs w:val="21"/>
              </w:rPr>
              <w:t>河北衡水湖国家级自然保护区</w:t>
            </w:r>
          </w:p>
        </w:tc>
        <w:tc>
          <w:tcPr>
            <w:tcW w:w="2408" w:type="pct"/>
            <w:shd w:val="clear" w:color="auto" w:fill="auto"/>
            <w:vAlign w:val="center"/>
          </w:tcPr>
          <w:p w:rsidR="001C6291" w:rsidRPr="001C6291" w:rsidRDefault="001C6291" w:rsidP="001C6291">
            <w:pPr>
              <w:jc w:val="center"/>
              <w:rPr>
                <w:rFonts w:ascii="宋体" w:hAnsi="宋体"/>
                <w:color w:val="000000"/>
                <w:szCs w:val="21"/>
              </w:rPr>
            </w:pPr>
            <w:r w:rsidRPr="001C6291">
              <w:rPr>
                <w:rFonts w:ascii="宋体" w:hAnsi="宋体"/>
                <w:color w:val="000000"/>
                <w:szCs w:val="21"/>
              </w:rPr>
              <w:t>《环境空气质量标准》一级</w:t>
            </w:r>
          </w:p>
          <w:p w:rsidR="001C6291" w:rsidRPr="001C6291" w:rsidRDefault="001C6291" w:rsidP="001C6291">
            <w:pPr>
              <w:jc w:val="center"/>
              <w:rPr>
                <w:rFonts w:ascii="宋体" w:hAnsi="宋体"/>
                <w:color w:val="000000"/>
                <w:szCs w:val="21"/>
              </w:rPr>
            </w:pPr>
            <w:r w:rsidRPr="001C6291">
              <w:rPr>
                <w:rFonts w:ascii="宋体" w:hAnsi="宋体"/>
                <w:color w:val="000000"/>
                <w:szCs w:val="21"/>
              </w:rPr>
              <w:t>《大气污染物综合排放标准》一级</w:t>
            </w:r>
          </w:p>
        </w:tc>
      </w:tr>
      <w:tr w:rsidR="001C6291" w:rsidRPr="001C6291" w:rsidTr="00CE3107">
        <w:trPr>
          <w:trHeight w:val="836"/>
          <w:jc w:val="center"/>
        </w:trPr>
        <w:tc>
          <w:tcPr>
            <w:tcW w:w="740" w:type="pct"/>
            <w:shd w:val="clear" w:color="auto" w:fill="auto"/>
            <w:vAlign w:val="center"/>
          </w:tcPr>
          <w:p w:rsidR="001C6291" w:rsidRPr="001C6291" w:rsidRDefault="001C6291" w:rsidP="001C6291">
            <w:pPr>
              <w:jc w:val="center"/>
              <w:rPr>
                <w:rFonts w:ascii="宋体" w:hAnsi="宋体"/>
                <w:color w:val="000000"/>
                <w:szCs w:val="21"/>
              </w:rPr>
            </w:pPr>
            <w:r w:rsidRPr="001C6291">
              <w:rPr>
                <w:rFonts w:ascii="宋体" w:hAnsi="宋体"/>
                <w:color w:val="000000"/>
                <w:szCs w:val="21"/>
              </w:rPr>
              <w:t>二类区</w:t>
            </w:r>
          </w:p>
        </w:tc>
        <w:tc>
          <w:tcPr>
            <w:tcW w:w="1852" w:type="pct"/>
            <w:shd w:val="clear" w:color="auto" w:fill="auto"/>
            <w:vAlign w:val="center"/>
          </w:tcPr>
          <w:p w:rsidR="001C6291" w:rsidRPr="001C6291" w:rsidRDefault="001C6291" w:rsidP="001C6291">
            <w:pPr>
              <w:jc w:val="center"/>
              <w:rPr>
                <w:rFonts w:ascii="宋体" w:hAnsi="宋体"/>
                <w:color w:val="000000"/>
                <w:szCs w:val="21"/>
              </w:rPr>
            </w:pPr>
            <w:r w:rsidRPr="001C6291">
              <w:rPr>
                <w:rFonts w:ascii="宋体" w:hAnsi="宋体"/>
                <w:color w:val="000000"/>
                <w:szCs w:val="21"/>
              </w:rPr>
              <w:t>都市区辖区内除一类区以外的区域</w:t>
            </w:r>
          </w:p>
        </w:tc>
        <w:tc>
          <w:tcPr>
            <w:tcW w:w="2408" w:type="pct"/>
            <w:shd w:val="clear" w:color="auto" w:fill="auto"/>
            <w:vAlign w:val="center"/>
          </w:tcPr>
          <w:p w:rsidR="001C6291" w:rsidRPr="001C6291" w:rsidRDefault="001C6291" w:rsidP="001C6291">
            <w:pPr>
              <w:jc w:val="center"/>
              <w:rPr>
                <w:rFonts w:ascii="宋体" w:hAnsi="宋体"/>
                <w:color w:val="000000"/>
                <w:szCs w:val="21"/>
              </w:rPr>
            </w:pPr>
            <w:r w:rsidRPr="001C6291">
              <w:rPr>
                <w:rFonts w:ascii="宋体" w:hAnsi="宋体"/>
                <w:color w:val="000000"/>
                <w:szCs w:val="21"/>
              </w:rPr>
              <w:t>《环境空气质量标准》二级</w:t>
            </w:r>
          </w:p>
          <w:p w:rsidR="001C6291" w:rsidRPr="001C6291" w:rsidRDefault="001C6291" w:rsidP="001C6291">
            <w:pPr>
              <w:jc w:val="center"/>
              <w:rPr>
                <w:rFonts w:ascii="宋体" w:hAnsi="宋体"/>
                <w:color w:val="000000"/>
                <w:szCs w:val="21"/>
              </w:rPr>
            </w:pPr>
            <w:r w:rsidRPr="001C6291">
              <w:rPr>
                <w:rFonts w:ascii="宋体" w:hAnsi="宋体"/>
                <w:color w:val="000000"/>
                <w:szCs w:val="21"/>
              </w:rPr>
              <w:t>《大气污染物综合排放标准》二级</w:t>
            </w:r>
          </w:p>
        </w:tc>
      </w:tr>
    </w:tbl>
    <w:p w:rsidR="001C6291" w:rsidRPr="001C6291" w:rsidRDefault="001C6291" w:rsidP="001C6291">
      <w:pPr>
        <w:spacing w:line="276" w:lineRule="auto"/>
        <w:rPr>
          <w:color w:val="000000"/>
        </w:rPr>
      </w:pPr>
    </w:p>
    <w:p w:rsidR="001C6291" w:rsidRPr="001C6291" w:rsidRDefault="001C6291" w:rsidP="001C6291">
      <w:pPr>
        <w:spacing w:line="360" w:lineRule="auto"/>
        <w:ind w:firstLineChars="200" w:firstLine="480"/>
        <w:rPr>
          <w:sz w:val="24"/>
          <w:szCs w:val="20"/>
        </w:rPr>
      </w:pPr>
      <w:r w:rsidRPr="001C6291">
        <w:rPr>
          <w:rFonts w:hint="eastAsia"/>
          <w:sz w:val="24"/>
          <w:szCs w:val="20"/>
        </w:rPr>
        <w:t>（</w:t>
      </w:r>
      <w:r w:rsidRPr="001C6291">
        <w:rPr>
          <w:sz w:val="24"/>
          <w:szCs w:val="20"/>
        </w:rPr>
        <w:t>3</w:t>
      </w:r>
      <w:r w:rsidRPr="001C6291">
        <w:rPr>
          <w:sz w:val="24"/>
          <w:szCs w:val="20"/>
        </w:rPr>
        <w:t>）特殊区域及边界处理的规定</w:t>
      </w:r>
    </w:p>
    <w:p w:rsidR="001C6291" w:rsidRPr="001C6291" w:rsidRDefault="001C6291" w:rsidP="001C6291">
      <w:pPr>
        <w:spacing w:line="360" w:lineRule="auto"/>
        <w:ind w:firstLineChars="200" w:firstLine="480"/>
        <w:rPr>
          <w:sz w:val="24"/>
          <w:szCs w:val="20"/>
        </w:rPr>
      </w:pPr>
      <w:r w:rsidRPr="001C6291">
        <w:rPr>
          <w:sz w:val="24"/>
          <w:szCs w:val="20"/>
        </w:rPr>
        <w:t>以衡水湖国家级自然保护区辖区向外扩展</w:t>
      </w:r>
      <w:r w:rsidRPr="001C6291">
        <w:rPr>
          <w:sz w:val="24"/>
          <w:szCs w:val="20"/>
        </w:rPr>
        <w:t>500m</w:t>
      </w:r>
      <w:r w:rsidRPr="001C6291">
        <w:rPr>
          <w:sz w:val="24"/>
          <w:szCs w:val="20"/>
        </w:rPr>
        <w:t>的区域作为一类区和二类区的缓冲带，在缓冲带内建有</w:t>
      </w:r>
      <w:r w:rsidR="009D4EF9" w:rsidRPr="001C6291">
        <w:rPr>
          <w:sz w:val="24"/>
          <w:szCs w:val="20"/>
        </w:rPr>
        <w:t>的</w:t>
      </w:r>
      <w:r w:rsidRPr="001C6291">
        <w:rPr>
          <w:sz w:val="24"/>
          <w:szCs w:val="20"/>
        </w:rPr>
        <w:t>污染排放源，则应根据对环境空气质量要求高的功能区的影响情况，确定执行标准的级别。</w:t>
      </w:r>
    </w:p>
    <w:p w:rsidR="001C6291" w:rsidRPr="001C6291" w:rsidRDefault="001C6291" w:rsidP="001C6291">
      <w:pPr>
        <w:spacing w:line="360" w:lineRule="auto"/>
        <w:ind w:firstLineChars="200" w:firstLine="480"/>
        <w:rPr>
          <w:sz w:val="24"/>
          <w:szCs w:val="20"/>
        </w:rPr>
      </w:pPr>
      <w:r w:rsidRPr="001C6291">
        <w:rPr>
          <w:sz w:val="24"/>
          <w:szCs w:val="20"/>
        </w:rPr>
        <w:t>新建工业区划归二类区，且工业区不能设在相邻的一类功能区的主导风向的上风向。在二类区建高架点源，若排放的污染物最大落地浓度影响到一类区，则新建点源的最大落地浓度应按一类区要求。</w:t>
      </w:r>
    </w:p>
    <w:p w:rsidR="001C6291" w:rsidRPr="001C6291" w:rsidRDefault="001C6291" w:rsidP="001C6291">
      <w:pPr>
        <w:spacing w:line="360" w:lineRule="auto"/>
        <w:ind w:firstLineChars="200" w:firstLine="480"/>
        <w:rPr>
          <w:sz w:val="24"/>
          <w:szCs w:val="20"/>
        </w:rPr>
      </w:pPr>
      <w:r w:rsidRPr="001C6291">
        <w:rPr>
          <w:sz w:val="24"/>
          <w:szCs w:val="20"/>
        </w:rPr>
        <w:t>位于工业区中的集中居民区（村庄）执行居住区大气中有害物质的卫生标准。</w:t>
      </w:r>
    </w:p>
    <w:p w:rsidR="001C6291" w:rsidRPr="001C6291" w:rsidRDefault="001C6291" w:rsidP="001C6291">
      <w:pPr>
        <w:pStyle w:val="20"/>
        <w:numPr>
          <w:ilvl w:val="0"/>
          <w:numId w:val="8"/>
        </w:numPr>
        <w:rPr>
          <w:rFonts w:ascii="宋体" w:eastAsia="宋体" w:hAnsi="宋体"/>
        </w:rPr>
      </w:pPr>
      <w:bookmarkStart w:id="17" w:name="_Toc491719774"/>
      <w:r w:rsidRPr="001C6291">
        <w:rPr>
          <w:rFonts w:ascii="宋体" w:eastAsia="宋体" w:hAnsi="宋体" w:hint="eastAsia"/>
        </w:rPr>
        <w:t>产业结构</w:t>
      </w:r>
      <w:r w:rsidRPr="001C6291">
        <w:rPr>
          <w:rFonts w:ascii="宋体" w:eastAsia="宋体" w:hAnsi="宋体"/>
        </w:rPr>
        <w:t>调整</w:t>
      </w:r>
    </w:p>
    <w:p w:rsidR="001C6291" w:rsidRPr="001C6291" w:rsidRDefault="001C6291" w:rsidP="001C6291">
      <w:pPr>
        <w:spacing w:line="360" w:lineRule="auto"/>
        <w:ind w:firstLineChars="200" w:firstLine="480"/>
        <w:rPr>
          <w:sz w:val="24"/>
          <w:szCs w:val="20"/>
        </w:rPr>
      </w:pPr>
      <w:r w:rsidRPr="001C6291">
        <w:rPr>
          <w:sz w:val="24"/>
          <w:szCs w:val="20"/>
        </w:rPr>
        <w:t>推进产业结构战略性调整。结合</w:t>
      </w:r>
      <w:r w:rsidRPr="001C6291">
        <w:rPr>
          <w:rFonts w:hint="eastAsia"/>
          <w:sz w:val="24"/>
          <w:szCs w:val="20"/>
        </w:rPr>
        <w:t>产业转型</w:t>
      </w:r>
      <w:r w:rsidRPr="001C6291">
        <w:rPr>
          <w:sz w:val="24"/>
          <w:szCs w:val="20"/>
        </w:rPr>
        <w:t>升级，按照产业结构调整指导目录，严格限制</w:t>
      </w:r>
      <w:r w:rsidRPr="001C6291">
        <w:rPr>
          <w:rFonts w:hint="eastAsia"/>
          <w:sz w:val="24"/>
          <w:szCs w:val="20"/>
        </w:rPr>
        <w:t>钢铁、煤炭、水泥、玻璃、焦化、火电</w:t>
      </w:r>
      <w:r w:rsidRPr="001C6291">
        <w:rPr>
          <w:sz w:val="24"/>
          <w:szCs w:val="20"/>
        </w:rPr>
        <w:t>等</w:t>
      </w:r>
      <w:r w:rsidRPr="001C6291">
        <w:rPr>
          <w:rFonts w:hint="eastAsia"/>
          <w:sz w:val="24"/>
          <w:szCs w:val="20"/>
        </w:rPr>
        <w:t>高能耗</w:t>
      </w:r>
      <w:r w:rsidRPr="001C6291">
        <w:rPr>
          <w:sz w:val="24"/>
          <w:szCs w:val="20"/>
        </w:rPr>
        <w:t>行业</w:t>
      </w:r>
      <w:r w:rsidRPr="001C6291">
        <w:rPr>
          <w:rFonts w:hint="eastAsia"/>
          <w:sz w:val="24"/>
          <w:szCs w:val="20"/>
        </w:rPr>
        <w:t>过剩发展，建立以节能环保标准促进高污染高能耗行业过剩产能退出的机制。</w:t>
      </w:r>
    </w:p>
    <w:p w:rsidR="001C6291" w:rsidRPr="001C6291" w:rsidRDefault="001C6291" w:rsidP="001C6291">
      <w:pPr>
        <w:spacing w:line="360" w:lineRule="auto"/>
        <w:ind w:firstLineChars="200" w:firstLine="480"/>
        <w:rPr>
          <w:sz w:val="24"/>
          <w:szCs w:val="20"/>
        </w:rPr>
      </w:pPr>
      <w:r w:rsidRPr="001C6291">
        <w:rPr>
          <w:rFonts w:hint="eastAsia"/>
          <w:sz w:val="24"/>
          <w:szCs w:val="20"/>
        </w:rPr>
        <w:t>以环境友好型和生态友好型产业为主攻方向，加快推动工业由一般加工向高端制造转变，由粗放型增长向集约集聚集群发展转变为总目标，全力打造先进制造业特色产业集聚区。</w:t>
      </w:r>
    </w:p>
    <w:p w:rsidR="001C6291" w:rsidRPr="001C6291" w:rsidRDefault="001C6291" w:rsidP="001C6291">
      <w:pPr>
        <w:pStyle w:val="20"/>
        <w:numPr>
          <w:ilvl w:val="0"/>
          <w:numId w:val="8"/>
        </w:numPr>
        <w:rPr>
          <w:rFonts w:ascii="宋体" w:eastAsia="宋体" w:hAnsi="宋体"/>
        </w:rPr>
      </w:pPr>
      <w:r w:rsidRPr="001C6291">
        <w:rPr>
          <w:rFonts w:ascii="宋体" w:eastAsia="宋体" w:hAnsi="宋体" w:hint="eastAsia"/>
        </w:rPr>
        <w:t>能源结构</w:t>
      </w:r>
      <w:r w:rsidRPr="001C6291">
        <w:rPr>
          <w:rFonts w:ascii="宋体" w:eastAsia="宋体" w:hAnsi="宋体"/>
        </w:rPr>
        <w:t>调整</w:t>
      </w:r>
    </w:p>
    <w:p w:rsidR="001C6291" w:rsidRPr="001C6291" w:rsidRDefault="001C6291" w:rsidP="001C6291">
      <w:pPr>
        <w:spacing w:line="360" w:lineRule="auto"/>
        <w:ind w:firstLineChars="200" w:firstLine="480"/>
        <w:rPr>
          <w:sz w:val="24"/>
          <w:szCs w:val="20"/>
        </w:rPr>
      </w:pPr>
      <w:r w:rsidRPr="001C6291">
        <w:rPr>
          <w:rFonts w:hint="eastAsia"/>
          <w:sz w:val="24"/>
          <w:szCs w:val="20"/>
        </w:rPr>
        <w:t>调整能源结构，实现冬季清洁取暖。近期电和气占消费总量不低于</w:t>
      </w:r>
      <w:r w:rsidRPr="001C6291">
        <w:rPr>
          <w:rFonts w:hint="eastAsia"/>
          <w:sz w:val="24"/>
          <w:szCs w:val="20"/>
        </w:rPr>
        <w:t>60%</w:t>
      </w:r>
      <w:r w:rsidRPr="001C6291">
        <w:rPr>
          <w:rFonts w:hint="eastAsia"/>
          <w:sz w:val="24"/>
          <w:szCs w:val="20"/>
        </w:rPr>
        <w:t>，燃煤比重控制在</w:t>
      </w:r>
      <w:r w:rsidRPr="001C6291">
        <w:rPr>
          <w:rFonts w:hint="eastAsia"/>
          <w:sz w:val="24"/>
          <w:szCs w:val="20"/>
        </w:rPr>
        <w:t>10%</w:t>
      </w:r>
      <w:r w:rsidRPr="001C6291">
        <w:rPr>
          <w:rFonts w:hint="eastAsia"/>
          <w:sz w:val="24"/>
          <w:szCs w:val="20"/>
        </w:rPr>
        <w:t>以内。都市区全域划入农业秸秆禁烧区，鼓励推广秸秆资源化利用；推进天然气、太阳能等清洁能源在农村的应用，替代秸秆、煤炭作为燃料的使用。</w:t>
      </w:r>
    </w:p>
    <w:p w:rsidR="001C6291" w:rsidRPr="001C6291" w:rsidRDefault="001C6291" w:rsidP="001C6291">
      <w:pPr>
        <w:spacing w:line="360" w:lineRule="auto"/>
        <w:ind w:firstLineChars="200" w:firstLine="480"/>
        <w:rPr>
          <w:sz w:val="24"/>
          <w:szCs w:val="20"/>
        </w:rPr>
      </w:pPr>
      <w:r w:rsidRPr="001C6291">
        <w:rPr>
          <w:rFonts w:hint="eastAsia"/>
          <w:sz w:val="24"/>
          <w:szCs w:val="20"/>
        </w:rPr>
        <w:lastRenderedPageBreak/>
        <w:t>加快推进城镇集中供暖，优化火电结构、淘汰小型燃煤锅炉。近期淘汰主城区</w:t>
      </w:r>
      <w:r w:rsidRPr="001C6291">
        <w:rPr>
          <w:rFonts w:hint="eastAsia"/>
          <w:sz w:val="24"/>
          <w:szCs w:val="20"/>
        </w:rPr>
        <w:t>35</w:t>
      </w:r>
      <w:r w:rsidRPr="001C6291">
        <w:rPr>
          <w:rFonts w:hint="eastAsia"/>
          <w:sz w:val="24"/>
          <w:szCs w:val="20"/>
        </w:rPr>
        <w:t>蒸吨及以下燃煤锅炉；两年内全市</w:t>
      </w:r>
      <w:r w:rsidRPr="001C6291">
        <w:rPr>
          <w:rFonts w:hint="eastAsia"/>
          <w:sz w:val="24"/>
          <w:szCs w:val="20"/>
        </w:rPr>
        <w:t>35</w:t>
      </w:r>
      <w:r w:rsidRPr="001C6291">
        <w:rPr>
          <w:rFonts w:hint="eastAsia"/>
          <w:sz w:val="24"/>
          <w:szCs w:val="20"/>
        </w:rPr>
        <w:t>蒸吨及以下燃煤锅炉全部淘汰。到</w:t>
      </w:r>
      <w:r w:rsidRPr="001C6291">
        <w:rPr>
          <w:rFonts w:hint="eastAsia"/>
          <w:sz w:val="24"/>
          <w:szCs w:val="20"/>
        </w:rPr>
        <w:t>2020</w:t>
      </w:r>
      <w:r w:rsidRPr="001C6291">
        <w:rPr>
          <w:rFonts w:hint="eastAsia"/>
          <w:sz w:val="24"/>
          <w:szCs w:val="20"/>
        </w:rPr>
        <w:t>年，都市区集中供暖和清洁能源供暖率达到</w:t>
      </w:r>
      <w:r w:rsidRPr="001C6291">
        <w:rPr>
          <w:rFonts w:hint="eastAsia"/>
          <w:sz w:val="24"/>
          <w:szCs w:val="20"/>
        </w:rPr>
        <w:t>95%</w:t>
      </w:r>
      <w:r w:rsidRPr="001C6291">
        <w:rPr>
          <w:rFonts w:hint="eastAsia"/>
          <w:sz w:val="24"/>
          <w:szCs w:val="20"/>
        </w:rPr>
        <w:t>以上。</w:t>
      </w:r>
    </w:p>
    <w:p w:rsidR="001C6291" w:rsidRPr="001C6291" w:rsidRDefault="001C6291" w:rsidP="001C6291">
      <w:pPr>
        <w:spacing w:line="360" w:lineRule="auto"/>
        <w:ind w:firstLineChars="200" w:firstLine="480"/>
        <w:rPr>
          <w:sz w:val="24"/>
          <w:szCs w:val="20"/>
        </w:rPr>
      </w:pPr>
      <w:r w:rsidRPr="001C6291">
        <w:rPr>
          <w:rFonts w:hint="eastAsia"/>
          <w:sz w:val="24"/>
          <w:szCs w:val="20"/>
        </w:rPr>
        <w:t>划定各个城区高污染燃料禁燃区范围，并逐年扩大禁燃区范围。近期桃城区、冀州区划入禁燃区；远期都市区全部划定为</w:t>
      </w:r>
      <w:r w:rsidR="009D4EF9">
        <w:rPr>
          <w:rFonts w:hint="eastAsia"/>
          <w:sz w:val="24"/>
          <w:szCs w:val="20"/>
        </w:rPr>
        <w:t>高污染燃料</w:t>
      </w:r>
      <w:r w:rsidRPr="001C6291">
        <w:rPr>
          <w:rFonts w:hint="eastAsia"/>
          <w:sz w:val="24"/>
          <w:szCs w:val="20"/>
        </w:rPr>
        <w:t>禁燃区。</w:t>
      </w:r>
    </w:p>
    <w:p w:rsidR="001C6291" w:rsidRPr="001C6291" w:rsidRDefault="001C6291" w:rsidP="001C6291">
      <w:pPr>
        <w:spacing w:line="360" w:lineRule="auto"/>
        <w:ind w:firstLineChars="200" w:firstLine="480"/>
        <w:rPr>
          <w:sz w:val="24"/>
          <w:szCs w:val="20"/>
        </w:rPr>
      </w:pPr>
      <w:r w:rsidRPr="001C6291">
        <w:rPr>
          <w:rFonts w:hint="eastAsia"/>
          <w:sz w:val="24"/>
          <w:szCs w:val="20"/>
        </w:rPr>
        <w:t>加快农村散煤综合治理，</w:t>
      </w:r>
      <w:r w:rsidRPr="001C6291">
        <w:rPr>
          <w:sz w:val="24"/>
          <w:szCs w:val="20"/>
        </w:rPr>
        <w:t>启动</w:t>
      </w:r>
      <w:r w:rsidRPr="001C6291">
        <w:rPr>
          <w:rFonts w:hint="eastAsia"/>
          <w:sz w:val="24"/>
          <w:szCs w:val="20"/>
        </w:rPr>
        <w:t>城乡气代煤、电代煤工作。</w:t>
      </w:r>
    </w:p>
    <w:p w:rsidR="001C6291" w:rsidRPr="001C6291" w:rsidRDefault="001C6291" w:rsidP="001C6291">
      <w:pPr>
        <w:spacing w:line="360" w:lineRule="auto"/>
        <w:ind w:firstLineChars="200" w:firstLine="480"/>
        <w:rPr>
          <w:sz w:val="24"/>
          <w:szCs w:val="20"/>
        </w:rPr>
      </w:pPr>
      <w:r w:rsidRPr="001C6291">
        <w:rPr>
          <w:rFonts w:hint="eastAsia"/>
          <w:sz w:val="24"/>
          <w:szCs w:val="20"/>
        </w:rPr>
        <w:t>推动火电业升级改造，实施火电厂退城进郊，加快调整火电结构，优化布局。</w:t>
      </w:r>
    </w:p>
    <w:p w:rsidR="001C6291" w:rsidRPr="001C6291" w:rsidRDefault="001C6291" w:rsidP="001C6291">
      <w:pPr>
        <w:spacing w:line="360" w:lineRule="auto"/>
        <w:ind w:firstLineChars="200" w:firstLine="480"/>
        <w:rPr>
          <w:sz w:val="24"/>
          <w:szCs w:val="20"/>
        </w:rPr>
      </w:pPr>
      <w:r w:rsidRPr="001C6291">
        <w:rPr>
          <w:rFonts w:hint="eastAsia"/>
          <w:sz w:val="24"/>
          <w:szCs w:val="20"/>
        </w:rPr>
        <w:t>加强劣质散煤管控，实行生产、运输、销售、使用全链条严管严控，确保散煤质量明显好转。到</w:t>
      </w:r>
      <w:r w:rsidRPr="001C6291">
        <w:rPr>
          <w:rFonts w:hint="eastAsia"/>
          <w:sz w:val="24"/>
          <w:szCs w:val="20"/>
        </w:rPr>
        <w:t>2020</w:t>
      </w:r>
      <w:r w:rsidRPr="001C6291">
        <w:rPr>
          <w:rFonts w:hint="eastAsia"/>
          <w:sz w:val="24"/>
          <w:szCs w:val="20"/>
        </w:rPr>
        <w:t>年底，都市区重点区域散煤煤质抽检覆盖率达到</w:t>
      </w:r>
      <w:r w:rsidR="009D4EF9">
        <w:rPr>
          <w:rFonts w:hint="eastAsia"/>
          <w:sz w:val="24"/>
          <w:szCs w:val="20"/>
        </w:rPr>
        <w:t>100</w:t>
      </w:r>
      <w:r w:rsidRPr="001C6291">
        <w:rPr>
          <w:rFonts w:hint="eastAsia"/>
          <w:sz w:val="24"/>
          <w:szCs w:val="20"/>
        </w:rPr>
        <w:t>%</w:t>
      </w:r>
      <w:r w:rsidRPr="001C6291">
        <w:rPr>
          <w:rFonts w:hint="eastAsia"/>
          <w:sz w:val="24"/>
          <w:szCs w:val="20"/>
        </w:rPr>
        <w:t>以上。</w:t>
      </w:r>
    </w:p>
    <w:p w:rsidR="001C6291" w:rsidRPr="001C6291" w:rsidRDefault="001C6291" w:rsidP="001C6291">
      <w:pPr>
        <w:pStyle w:val="20"/>
        <w:numPr>
          <w:ilvl w:val="0"/>
          <w:numId w:val="8"/>
        </w:numPr>
        <w:rPr>
          <w:rFonts w:ascii="宋体" w:eastAsia="宋体" w:hAnsi="宋体"/>
        </w:rPr>
      </w:pPr>
      <w:r w:rsidRPr="001C6291">
        <w:rPr>
          <w:rFonts w:ascii="宋体" w:eastAsia="宋体" w:hAnsi="宋体" w:hint="eastAsia"/>
        </w:rPr>
        <w:t>扬尘污染防治</w:t>
      </w:r>
    </w:p>
    <w:p w:rsidR="001C6291" w:rsidRPr="001C6291" w:rsidRDefault="001C6291" w:rsidP="001C6291">
      <w:pPr>
        <w:spacing w:line="360" w:lineRule="auto"/>
        <w:ind w:firstLineChars="200" w:firstLine="480"/>
        <w:rPr>
          <w:sz w:val="24"/>
          <w:szCs w:val="20"/>
        </w:rPr>
      </w:pPr>
      <w:r w:rsidRPr="001C6291">
        <w:rPr>
          <w:rFonts w:hint="eastAsia"/>
          <w:sz w:val="24"/>
          <w:szCs w:val="20"/>
        </w:rPr>
        <w:t>道路</w:t>
      </w:r>
      <w:r w:rsidRPr="001C6291">
        <w:rPr>
          <w:sz w:val="24"/>
          <w:szCs w:val="20"/>
        </w:rPr>
        <w:t>扬尘控制。</w:t>
      </w:r>
      <w:r w:rsidRPr="001C6291">
        <w:rPr>
          <w:rFonts w:hint="eastAsia"/>
          <w:sz w:val="24"/>
          <w:szCs w:val="20"/>
        </w:rPr>
        <w:t>近期都市区内道路机械化清扫率达到</w:t>
      </w:r>
      <w:r w:rsidRPr="001C6291">
        <w:rPr>
          <w:rFonts w:hint="eastAsia"/>
          <w:sz w:val="24"/>
          <w:szCs w:val="20"/>
        </w:rPr>
        <w:t>80%</w:t>
      </w:r>
      <w:r w:rsidRPr="001C6291">
        <w:rPr>
          <w:rFonts w:hint="eastAsia"/>
          <w:sz w:val="24"/>
          <w:szCs w:val="20"/>
        </w:rPr>
        <w:t>，县级城市城区道路达到</w:t>
      </w:r>
      <w:r w:rsidRPr="001C6291">
        <w:rPr>
          <w:rFonts w:hint="eastAsia"/>
          <w:sz w:val="24"/>
          <w:szCs w:val="20"/>
        </w:rPr>
        <w:t>70%</w:t>
      </w:r>
      <w:r w:rsidRPr="001C6291">
        <w:rPr>
          <w:rFonts w:hint="eastAsia"/>
          <w:sz w:val="24"/>
          <w:szCs w:val="20"/>
        </w:rPr>
        <w:t>；</w:t>
      </w:r>
      <w:r w:rsidRPr="001C6291">
        <w:rPr>
          <w:rFonts w:hint="eastAsia"/>
          <w:sz w:val="24"/>
          <w:szCs w:val="20"/>
        </w:rPr>
        <w:t>2020</w:t>
      </w:r>
      <w:r w:rsidRPr="001C6291">
        <w:rPr>
          <w:rFonts w:hint="eastAsia"/>
          <w:sz w:val="24"/>
          <w:szCs w:val="20"/>
        </w:rPr>
        <w:t>年底前能进行机械化清扫的道路，实现机械化清扫全覆盖等。</w:t>
      </w:r>
    </w:p>
    <w:p w:rsidR="001C6291" w:rsidRPr="001C6291" w:rsidRDefault="001C6291" w:rsidP="001C6291">
      <w:pPr>
        <w:spacing w:line="360" w:lineRule="auto"/>
        <w:ind w:firstLineChars="200" w:firstLine="480"/>
        <w:rPr>
          <w:sz w:val="24"/>
          <w:szCs w:val="20"/>
        </w:rPr>
      </w:pPr>
      <w:r w:rsidRPr="001C6291">
        <w:rPr>
          <w:rFonts w:hint="eastAsia"/>
          <w:sz w:val="24"/>
          <w:szCs w:val="20"/>
        </w:rPr>
        <w:t>施工</w:t>
      </w:r>
      <w:r w:rsidRPr="001C6291">
        <w:rPr>
          <w:sz w:val="24"/>
          <w:szCs w:val="20"/>
        </w:rPr>
        <w:t>扬尘控制。建设工</w:t>
      </w:r>
      <w:r w:rsidRPr="001C6291">
        <w:rPr>
          <w:rFonts w:hint="eastAsia"/>
          <w:sz w:val="24"/>
          <w:szCs w:val="20"/>
        </w:rPr>
        <w:t>程全部执行《建筑工程绿色施工规范》</w:t>
      </w:r>
      <w:r w:rsidRPr="001C6291">
        <w:rPr>
          <w:sz w:val="24"/>
          <w:szCs w:val="20"/>
        </w:rPr>
        <w:t>，施工现场设置全封闭围挡墙，严禁敞开式作业，设置居民举报热线。</w:t>
      </w:r>
      <w:r w:rsidRPr="001C6291">
        <w:rPr>
          <w:rFonts w:hint="eastAsia"/>
          <w:sz w:val="24"/>
          <w:szCs w:val="20"/>
        </w:rPr>
        <w:t>近期对都市区内所有建筑工地进行扬尘专项整治</w:t>
      </w:r>
      <w:r w:rsidRPr="001C6291">
        <w:rPr>
          <w:rFonts w:hint="eastAsia"/>
          <w:sz w:val="24"/>
          <w:szCs w:val="20"/>
        </w:rPr>
        <w:t>,</w:t>
      </w:r>
      <w:r w:rsidRPr="001C6291">
        <w:rPr>
          <w:rFonts w:hint="eastAsia"/>
          <w:sz w:val="24"/>
          <w:szCs w:val="20"/>
        </w:rPr>
        <w:t>达标率为</w:t>
      </w:r>
      <w:r w:rsidRPr="001C6291">
        <w:rPr>
          <w:rFonts w:hint="eastAsia"/>
          <w:sz w:val="24"/>
          <w:szCs w:val="20"/>
        </w:rPr>
        <w:t>95%</w:t>
      </w:r>
      <w:r w:rsidRPr="001C6291">
        <w:rPr>
          <w:rFonts w:hint="eastAsia"/>
          <w:sz w:val="24"/>
          <w:szCs w:val="20"/>
        </w:rPr>
        <w:t>；</w:t>
      </w:r>
      <w:r w:rsidRPr="001C6291">
        <w:rPr>
          <w:rFonts w:hint="eastAsia"/>
          <w:sz w:val="24"/>
          <w:szCs w:val="20"/>
        </w:rPr>
        <w:t>2018</w:t>
      </w:r>
      <w:r w:rsidRPr="001C6291">
        <w:rPr>
          <w:rFonts w:hint="eastAsia"/>
          <w:sz w:val="24"/>
          <w:szCs w:val="20"/>
        </w:rPr>
        <w:t>年底前施工现场扬尘整治达标率达到</w:t>
      </w:r>
      <w:r w:rsidRPr="001C6291">
        <w:rPr>
          <w:rFonts w:hint="eastAsia"/>
          <w:sz w:val="24"/>
          <w:szCs w:val="20"/>
        </w:rPr>
        <w:t>100%</w:t>
      </w:r>
      <w:r w:rsidRPr="001C6291">
        <w:rPr>
          <w:rFonts w:hint="eastAsia"/>
          <w:sz w:val="24"/>
          <w:szCs w:val="20"/>
        </w:rPr>
        <w:t>。</w:t>
      </w:r>
    </w:p>
    <w:p w:rsidR="001C6291" w:rsidRPr="001C6291" w:rsidRDefault="001C6291" w:rsidP="001C6291">
      <w:pPr>
        <w:spacing w:line="360" w:lineRule="auto"/>
        <w:ind w:firstLineChars="200" w:firstLine="480"/>
        <w:rPr>
          <w:sz w:val="24"/>
          <w:szCs w:val="20"/>
        </w:rPr>
      </w:pPr>
      <w:r w:rsidRPr="001C6291">
        <w:rPr>
          <w:rFonts w:hint="eastAsia"/>
          <w:sz w:val="24"/>
          <w:szCs w:val="20"/>
        </w:rPr>
        <w:t>裸地扬尘整治</w:t>
      </w:r>
      <w:r w:rsidRPr="001C6291">
        <w:rPr>
          <w:sz w:val="24"/>
          <w:szCs w:val="20"/>
        </w:rPr>
        <w:t>。优先在裸露的非建设用地上植草植树，在城市及周边建设防风防沙林，提高绿化面积；调整农作物种植结构，减少农田土壤裸露时间</w:t>
      </w:r>
      <w:r w:rsidRPr="001C6291">
        <w:rPr>
          <w:rFonts w:hint="eastAsia"/>
          <w:sz w:val="24"/>
          <w:szCs w:val="20"/>
        </w:rPr>
        <w:t>；闲置耕地采用秸秆回填覆盖方式</w:t>
      </w:r>
      <w:r w:rsidRPr="001C6291">
        <w:rPr>
          <w:sz w:val="24"/>
          <w:szCs w:val="20"/>
        </w:rPr>
        <w:t>减少扬尘。</w:t>
      </w:r>
    </w:p>
    <w:p w:rsidR="001C6291" w:rsidRPr="001C6291" w:rsidRDefault="001C6291" w:rsidP="001C6291">
      <w:pPr>
        <w:pStyle w:val="20"/>
        <w:numPr>
          <w:ilvl w:val="0"/>
          <w:numId w:val="8"/>
        </w:numPr>
        <w:rPr>
          <w:rFonts w:ascii="宋体" w:eastAsia="宋体" w:hAnsi="宋体"/>
        </w:rPr>
      </w:pPr>
      <w:r w:rsidRPr="001C6291">
        <w:rPr>
          <w:rFonts w:ascii="宋体" w:eastAsia="宋体" w:hAnsi="宋体" w:hint="eastAsia"/>
        </w:rPr>
        <w:t>机动车尾气污染防治</w:t>
      </w:r>
    </w:p>
    <w:p w:rsidR="001C6291" w:rsidRPr="001C6291" w:rsidRDefault="001C6291" w:rsidP="001C6291">
      <w:pPr>
        <w:spacing w:line="360" w:lineRule="auto"/>
        <w:ind w:firstLineChars="200" w:firstLine="480"/>
        <w:rPr>
          <w:sz w:val="24"/>
          <w:szCs w:val="20"/>
        </w:rPr>
      </w:pPr>
      <w:r w:rsidRPr="001C6291">
        <w:rPr>
          <w:rFonts w:hint="eastAsia"/>
          <w:sz w:val="24"/>
          <w:szCs w:val="20"/>
        </w:rPr>
        <w:t>发展公共</w:t>
      </w:r>
      <w:r w:rsidRPr="001C6291">
        <w:rPr>
          <w:sz w:val="24"/>
          <w:szCs w:val="20"/>
        </w:rPr>
        <w:t>交通</w:t>
      </w:r>
      <w:r w:rsidRPr="001C6291">
        <w:rPr>
          <w:rFonts w:hint="eastAsia"/>
          <w:sz w:val="24"/>
          <w:szCs w:val="20"/>
        </w:rPr>
        <w:t>，</w:t>
      </w:r>
      <w:r w:rsidRPr="001C6291">
        <w:rPr>
          <w:sz w:val="24"/>
          <w:szCs w:val="20"/>
        </w:rPr>
        <w:t>鼓励居民绿色低碳出行，降低机动车使用强度。</w:t>
      </w:r>
    </w:p>
    <w:p w:rsidR="001C6291" w:rsidRPr="001C6291" w:rsidRDefault="001C6291" w:rsidP="001C6291">
      <w:pPr>
        <w:spacing w:line="360" w:lineRule="auto"/>
        <w:ind w:firstLineChars="200" w:firstLine="480"/>
        <w:rPr>
          <w:sz w:val="24"/>
          <w:szCs w:val="20"/>
        </w:rPr>
      </w:pPr>
      <w:r w:rsidRPr="00BB1551">
        <w:rPr>
          <w:rFonts w:hint="eastAsia"/>
          <w:color w:val="000000" w:themeColor="text1"/>
          <w:sz w:val="24"/>
          <w:szCs w:val="20"/>
        </w:rPr>
        <w:t>提升</w:t>
      </w:r>
      <w:r w:rsidRPr="00BB1551">
        <w:rPr>
          <w:color w:val="000000" w:themeColor="text1"/>
          <w:sz w:val="24"/>
          <w:szCs w:val="20"/>
        </w:rPr>
        <w:t>燃油品质</w:t>
      </w:r>
      <w:r w:rsidRPr="00BB1551">
        <w:rPr>
          <w:rFonts w:hint="eastAsia"/>
          <w:color w:val="000000" w:themeColor="text1"/>
          <w:sz w:val="24"/>
          <w:szCs w:val="20"/>
        </w:rPr>
        <w:t>，近期全面实施第六阶段机动车排放标准</w:t>
      </w:r>
      <w:r w:rsidRPr="00BB1551">
        <w:rPr>
          <w:rFonts w:hint="eastAsia"/>
          <w:strike/>
          <w:color w:val="000000" w:themeColor="text1"/>
          <w:sz w:val="24"/>
          <w:szCs w:val="20"/>
        </w:rPr>
        <w:t>标准</w:t>
      </w:r>
      <w:r w:rsidRPr="00BB1551">
        <w:rPr>
          <w:rFonts w:hint="eastAsia"/>
          <w:color w:val="000000" w:themeColor="text1"/>
          <w:sz w:val="24"/>
          <w:szCs w:val="20"/>
        </w:rPr>
        <w:t>，各加油站油品应符合国家第六阶段标准的车用汽、柴油标准</w:t>
      </w:r>
      <w:r w:rsidRPr="001C6291">
        <w:rPr>
          <w:sz w:val="24"/>
          <w:szCs w:val="20"/>
        </w:rPr>
        <w:t>。</w:t>
      </w:r>
    </w:p>
    <w:p w:rsidR="001C6291" w:rsidRPr="001C6291" w:rsidRDefault="001C6291" w:rsidP="001C6291">
      <w:pPr>
        <w:spacing w:line="360" w:lineRule="auto"/>
        <w:ind w:firstLineChars="200" w:firstLine="480"/>
        <w:rPr>
          <w:sz w:val="24"/>
          <w:szCs w:val="20"/>
        </w:rPr>
      </w:pPr>
      <w:r w:rsidRPr="001C6291">
        <w:rPr>
          <w:rFonts w:hint="eastAsia"/>
          <w:sz w:val="24"/>
          <w:szCs w:val="20"/>
        </w:rPr>
        <w:t>机动车</w:t>
      </w:r>
      <w:r w:rsidRPr="001C6291">
        <w:rPr>
          <w:sz w:val="24"/>
          <w:szCs w:val="20"/>
        </w:rPr>
        <w:t>汰</w:t>
      </w:r>
      <w:r w:rsidRPr="001C6291">
        <w:rPr>
          <w:rFonts w:hint="eastAsia"/>
          <w:sz w:val="24"/>
          <w:szCs w:val="20"/>
        </w:rPr>
        <w:t>旧</w:t>
      </w:r>
      <w:r w:rsidRPr="001C6291">
        <w:rPr>
          <w:sz w:val="24"/>
          <w:szCs w:val="20"/>
        </w:rPr>
        <w:t>更新。都市区各城区划定禁行区域，到</w:t>
      </w:r>
      <w:r w:rsidRPr="001C6291">
        <w:rPr>
          <w:sz w:val="24"/>
          <w:szCs w:val="20"/>
        </w:rPr>
        <w:t>20</w:t>
      </w:r>
      <w:r w:rsidR="00F940F5">
        <w:rPr>
          <w:rFonts w:hint="eastAsia"/>
          <w:sz w:val="24"/>
          <w:szCs w:val="20"/>
        </w:rPr>
        <w:t>18</w:t>
      </w:r>
      <w:r w:rsidRPr="001C6291">
        <w:rPr>
          <w:sz w:val="24"/>
          <w:szCs w:val="20"/>
        </w:rPr>
        <w:t>年全面淘汰市域内的黄标车和老旧车辆。</w:t>
      </w:r>
    </w:p>
    <w:p w:rsidR="001C6291" w:rsidRPr="001C6291" w:rsidRDefault="001C6291" w:rsidP="001C6291">
      <w:pPr>
        <w:spacing w:line="360" w:lineRule="auto"/>
        <w:ind w:firstLineChars="200" w:firstLine="480"/>
        <w:rPr>
          <w:sz w:val="24"/>
          <w:szCs w:val="20"/>
        </w:rPr>
      </w:pPr>
      <w:r w:rsidRPr="001C6291">
        <w:rPr>
          <w:rFonts w:hint="eastAsia"/>
          <w:sz w:val="24"/>
          <w:szCs w:val="20"/>
        </w:rPr>
        <w:t>推广</w:t>
      </w:r>
      <w:r w:rsidRPr="001C6291">
        <w:rPr>
          <w:sz w:val="24"/>
          <w:szCs w:val="20"/>
        </w:rPr>
        <w:t>新能源汽车</w:t>
      </w:r>
      <w:r w:rsidRPr="001C6291">
        <w:rPr>
          <w:rFonts w:hint="eastAsia"/>
          <w:sz w:val="24"/>
          <w:szCs w:val="20"/>
        </w:rPr>
        <w:t>，</w:t>
      </w:r>
      <w:r w:rsidRPr="001C6291">
        <w:rPr>
          <w:sz w:val="24"/>
          <w:szCs w:val="20"/>
        </w:rPr>
        <w:t>并</w:t>
      </w:r>
      <w:r w:rsidRPr="001C6291">
        <w:rPr>
          <w:rFonts w:hint="eastAsia"/>
          <w:sz w:val="24"/>
          <w:szCs w:val="20"/>
        </w:rPr>
        <w:t>优先在环卫、出租车、公交等公共服务领域推广应用新</w:t>
      </w:r>
      <w:r w:rsidRPr="001C6291">
        <w:rPr>
          <w:rFonts w:hint="eastAsia"/>
          <w:sz w:val="24"/>
          <w:szCs w:val="20"/>
        </w:rPr>
        <w:lastRenderedPageBreak/>
        <w:t>能源汽车。</w:t>
      </w:r>
    </w:p>
    <w:p w:rsidR="001C6291" w:rsidRPr="001C6291" w:rsidRDefault="001C6291" w:rsidP="001C6291">
      <w:pPr>
        <w:pStyle w:val="20"/>
        <w:numPr>
          <w:ilvl w:val="0"/>
          <w:numId w:val="8"/>
        </w:numPr>
        <w:rPr>
          <w:rFonts w:ascii="宋体" w:eastAsia="宋体" w:hAnsi="宋体"/>
        </w:rPr>
      </w:pPr>
      <w:r w:rsidRPr="001C6291">
        <w:rPr>
          <w:rFonts w:ascii="宋体" w:eastAsia="宋体" w:hAnsi="宋体" w:hint="eastAsia"/>
        </w:rPr>
        <w:t>挥发性有机物污染防治</w:t>
      </w:r>
    </w:p>
    <w:p w:rsidR="001C6291" w:rsidRPr="001C6291" w:rsidRDefault="001C6291" w:rsidP="001C6291">
      <w:pPr>
        <w:spacing w:line="360" w:lineRule="auto"/>
        <w:ind w:firstLineChars="200" w:firstLine="480"/>
        <w:rPr>
          <w:sz w:val="24"/>
          <w:szCs w:val="20"/>
        </w:rPr>
      </w:pPr>
      <w:r w:rsidRPr="001C6291">
        <w:rPr>
          <w:rFonts w:hint="eastAsia"/>
          <w:sz w:val="24"/>
          <w:szCs w:val="20"/>
        </w:rPr>
        <w:t>重点推进石油及化工、汽车及配件喷涂、造船和集装箱等工业涂装、化学品制造业、包装印刷、油漆和涂料、家具制造和制鞋等行业挥发性有机物综合整治，严控新增挥发性有机物排放。</w:t>
      </w:r>
    </w:p>
    <w:p w:rsidR="001C6291" w:rsidRPr="001C6291" w:rsidRDefault="001C6291" w:rsidP="001C6291">
      <w:pPr>
        <w:spacing w:line="360" w:lineRule="auto"/>
        <w:ind w:firstLineChars="200" w:firstLine="480"/>
        <w:rPr>
          <w:sz w:val="24"/>
          <w:szCs w:val="20"/>
        </w:rPr>
      </w:pPr>
      <w:r w:rsidRPr="001C6291">
        <w:rPr>
          <w:rFonts w:hint="eastAsia"/>
          <w:sz w:val="24"/>
          <w:szCs w:val="20"/>
        </w:rPr>
        <w:t>加强石化行业储运分销过程废气治理。推动加油站等的油气回收改造工作，定期开展油气回收装置维护与检查工作，不断强化油气回收处理水平。</w:t>
      </w:r>
    </w:p>
    <w:p w:rsidR="001C6291" w:rsidRPr="001C6291" w:rsidRDefault="001C6291" w:rsidP="001C6291">
      <w:pPr>
        <w:spacing w:line="360" w:lineRule="auto"/>
        <w:ind w:firstLineChars="200" w:firstLine="480"/>
        <w:rPr>
          <w:sz w:val="24"/>
          <w:szCs w:val="20"/>
        </w:rPr>
      </w:pPr>
      <w:r w:rsidRPr="001C6291">
        <w:rPr>
          <w:rFonts w:hint="eastAsia"/>
          <w:sz w:val="24"/>
          <w:szCs w:val="20"/>
        </w:rPr>
        <w:t>严格餐饮油烟污染控制。区域</w:t>
      </w:r>
      <w:r w:rsidRPr="001C6291">
        <w:rPr>
          <w:sz w:val="24"/>
          <w:szCs w:val="20"/>
        </w:rPr>
        <w:t>内</w:t>
      </w:r>
      <w:r w:rsidRPr="001C6291">
        <w:rPr>
          <w:rFonts w:hint="eastAsia"/>
          <w:sz w:val="24"/>
          <w:szCs w:val="20"/>
        </w:rPr>
        <w:t>餐饮单位全部安装油烟净化装置，加大监管力度，严惩餐饮油烟不达标排放；强化对露天烧烤等无油烟净化设施的污染行为的环境监管。</w:t>
      </w:r>
    </w:p>
    <w:p w:rsidR="001C6291" w:rsidRPr="001C6291" w:rsidRDefault="001C6291" w:rsidP="001C6291">
      <w:pPr>
        <w:spacing w:line="360" w:lineRule="auto"/>
        <w:ind w:firstLineChars="200" w:firstLine="480"/>
        <w:rPr>
          <w:sz w:val="24"/>
          <w:szCs w:val="20"/>
        </w:rPr>
      </w:pPr>
      <w:r w:rsidRPr="001C6291">
        <w:rPr>
          <w:rFonts w:hint="eastAsia"/>
          <w:sz w:val="24"/>
          <w:szCs w:val="20"/>
        </w:rPr>
        <w:t>开展挥发性有机物排放普查工作，编制排放清单，建立挥发性有机物</w:t>
      </w:r>
      <w:r w:rsidRPr="001C6291">
        <w:rPr>
          <w:sz w:val="24"/>
          <w:szCs w:val="20"/>
        </w:rPr>
        <w:t>排放总量管理制度</w:t>
      </w:r>
      <w:r w:rsidRPr="001C6291">
        <w:rPr>
          <w:rFonts w:hint="eastAsia"/>
          <w:sz w:val="24"/>
          <w:szCs w:val="20"/>
        </w:rPr>
        <w:t>。</w:t>
      </w:r>
    </w:p>
    <w:p w:rsidR="001C6291" w:rsidRPr="001C6291" w:rsidRDefault="001C6291" w:rsidP="001C6291">
      <w:pPr>
        <w:pStyle w:val="20"/>
        <w:numPr>
          <w:ilvl w:val="0"/>
          <w:numId w:val="8"/>
        </w:numPr>
        <w:rPr>
          <w:rFonts w:ascii="宋体" w:eastAsia="宋体" w:hAnsi="宋体"/>
        </w:rPr>
      </w:pPr>
      <w:r w:rsidRPr="001C6291">
        <w:rPr>
          <w:rFonts w:ascii="宋体" w:eastAsia="宋体" w:hAnsi="宋体" w:hint="eastAsia"/>
        </w:rPr>
        <w:t>其它污染源防治</w:t>
      </w:r>
    </w:p>
    <w:p w:rsidR="001C6291" w:rsidRPr="001C6291" w:rsidRDefault="001C6291" w:rsidP="001C6291">
      <w:pPr>
        <w:spacing w:line="360" w:lineRule="auto"/>
        <w:ind w:firstLineChars="200" w:firstLine="480"/>
        <w:rPr>
          <w:sz w:val="24"/>
          <w:szCs w:val="20"/>
        </w:rPr>
      </w:pPr>
      <w:r w:rsidRPr="001C6291">
        <w:rPr>
          <w:rFonts w:hint="eastAsia"/>
          <w:sz w:val="24"/>
          <w:szCs w:val="20"/>
        </w:rPr>
        <w:t>加强对排放含汞、铅、二恶英及苯并（</w:t>
      </w:r>
      <w:r w:rsidRPr="001C6291">
        <w:rPr>
          <w:rFonts w:hint="eastAsia"/>
          <w:sz w:val="24"/>
          <w:szCs w:val="20"/>
        </w:rPr>
        <w:t>A</w:t>
      </w:r>
      <w:r w:rsidRPr="001C6291">
        <w:rPr>
          <w:rFonts w:hint="eastAsia"/>
          <w:sz w:val="24"/>
          <w:szCs w:val="20"/>
        </w:rPr>
        <w:t>）芘废气重点行业环境管理，推广最佳实用技术，开展行业清洁生产审核，以减少有毒有害废气排放。重点抓好污染源的监管防控工作。</w:t>
      </w:r>
      <w:bookmarkEnd w:id="17"/>
    </w:p>
    <w:p w:rsidR="001C6291" w:rsidRPr="001C6291" w:rsidRDefault="001C6291" w:rsidP="001C6291">
      <w:pPr>
        <w:pStyle w:val="1"/>
        <w:numPr>
          <w:ilvl w:val="0"/>
          <w:numId w:val="7"/>
        </w:numPr>
        <w:rPr>
          <w:rFonts w:ascii="黑体" w:eastAsia="黑体" w:hAnsi="黑体"/>
          <w:color w:val="000000"/>
          <w:lang w:val="x-none" w:eastAsia="x-none"/>
          <w14:shadow w14:blurRad="50800" w14:dist="38100" w14:dir="2700000" w14:sx="100000" w14:sy="100000" w14:kx="0" w14:ky="0" w14:algn="tl">
            <w14:srgbClr w14:val="000000">
              <w14:alpha w14:val="60000"/>
            </w14:srgbClr>
          </w14:shadow>
        </w:rPr>
      </w:pPr>
      <w:r w:rsidRPr="001C6291">
        <w:rPr>
          <w:rFonts w:ascii="黑体" w:eastAsia="黑体" w:hAnsi="黑体"/>
          <w:sz w:val="24"/>
          <w:szCs w:val="20"/>
          <w:lang w:val="x-none" w:eastAsia="x-none"/>
          <w14:shadow w14:blurRad="50800" w14:dist="38100" w14:dir="2700000" w14:sx="100000" w14:sy="100000" w14:kx="0" w14:ky="0" w14:algn="tl">
            <w14:srgbClr w14:val="000000">
              <w14:alpha w14:val="60000"/>
            </w14:srgbClr>
          </w14:shadow>
        </w:rPr>
        <w:br w:type="column"/>
      </w:r>
      <w:bookmarkStart w:id="18" w:name="_Toc513638723"/>
      <w:r w:rsidRPr="001C6291">
        <w:rPr>
          <w:rFonts w:hint="eastAsia"/>
        </w:rPr>
        <w:lastRenderedPageBreak/>
        <w:t>噪声污染</w:t>
      </w:r>
      <w:r w:rsidRPr="001C6291">
        <w:t>防治规划</w:t>
      </w:r>
      <w:bookmarkEnd w:id="18"/>
    </w:p>
    <w:p w:rsidR="001C6291" w:rsidRPr="001C6291" w:rsidRDefault="001C6291" w:rsidP="001C6291">
      <w:pPr>
        <w:pStyle w:val="20"/>
        <w:numPr>
          <w:ilvl w:val="0"/>
          <w:numId w:val="9"/>
        </w:numPr>
        <w:rPr>
          <w:rFonts w:ascii="宋体" w:eastAsia="宋体" w:hAnsi="宋体"/>
        </w:rPr>
      </w:pPr>
      <w:r w:rsidRPr="001C6291">
        <w:rPr>
          <w:rFonts w:ascii="宋体" w:eastAsia="宋体" w:hAnsi="宋体" w:hint="eastAsia"/>
        </w:rPr>
        <w:t>声环境功能区划</w:t>
      </w:r>
    </w:p>
    <w:p w:rsidR="001C6291" w:rsidRPr="001C6291" w:rsidRDefault="001C6291" w:rsidP="001C6291">
      <w:pPr>
        <w:spacing w:line="360" w:lineRule="auto"/>
        <w:ind w:firstLineChars="200" w:firstLine="480"/>
        <w:rPr>
          <w:sz w:val="24"/>
          <w:szCs w:val="20"/>
        </w:rPr>
      </w:pPr>
      <w:r w:rsidRPr="001C6291">
        <w:rPr>
          <w:sz w:val="24"/>
          <w:szCs w:val="20"/>
        </w:rPr>
        <w:t>结合规划区环境噪声污染分布现状及特点，将辖区内的声环境质量标准适用区划分为</w:t>
      </w:r>
      <w:r w:rsidRPr="001C6291">
        <w:rPr>
          <w:sz w:val="24"/>
          <w:szCs w:val="20"/>
        </w:rPr>
        <w:t>4</w:t>
      </w:r>
      <w:r w:rsidRPr="001C6291">
        <w:rPr>
          <w:sz w:val="24"/>
          <w:szCs w:val="20"/>
        </w:rPr>
        <w:t>大类。</w:t>
      </w:r>
    </w:p>
    <w:p w:rsidR="001C6291" w:rsidRPr="001C6291" w:rsidRDefault="001C6291" w:rsidP="001C6291">
      <w:pPr>
        <w:spacing w:line="360" w:lineRule="auto"/>
        <w:ind w:firstLineChars="200" w:firstLine="480"/>
        <w:rPr>
          <w:sz w:val="24"/>
          <w:szCs w:val="20"/>
        </w:rPr>
      </w:pPr>
      <w:r w:rsidRPr="001C6291">
        <w:rPr>
          <w:sz w:val="24"/>
          <w:szCs w:val="20"/>
        </w:rPr>
        <w:t>（</w:t>
      </w:r>
      <w:r w:rsidRPr="001C6291">
        <w:rPr>
          <w:sz w:val="24"/>
          <w:szCs w:val="20"/>
        </w:rPr>
        <w:t>1</w:t>
      </w:r>
      <w:r w:rsidRPr="001C6291">
        <w:rPr>
          <w:sz w:val="24"/>
          <w:szCs w:val="20"/>
        </w:rPr>
        <w:t>）声环境</w:t>
      </w:r>
      <w:r w:rsidRPr="001C6291">
        <w:rPr>
          <w:sz w:val="24"/>
          <w:szCs w:val="20"/>
        </w:rPr>
        <w:t>1</w:t>
      </w:r>
      <w:r w:rsidRPr="001C6291">
        <w:rPr>
          <w:sz w:val="24"/>
          <w:szCs w:val="20"/>
        </w:rPr>
        <w:t>类区</w:t>
      </w:r>
      <w:r w:rsidRPr="001C6291">
        <w:rPr>
          <w:sz w:val="24"/>
          <w:szCs w:val="20"/>
        </w:rPr>
        <w:t xml:space="preserve"> </w:t>
      </w:r>
    </w:p>
    <w:p w:rsidR="001C6291" w:rsidRPr="001C6291" w:rsidRDefault="001C6291" w:rsidP="001C6291">
      <w:pPr>
        <w:spacing w:line="360" w:lineRule="auto"/>
        <w:ind w:firstLineChars="200" w:firstLine="480"/>
        <w:rPr>
          <w:sz w:val="24"/>
          <w:szCs w:val="20"/>
        </w:rPr>
      </w:pPr>
      <w:r w:rsidRPr="001C6291">
        <w:rPr>
          <w:sz w:val="24"/>
          <w:szCs w:val="20"/>
        </w:rPr>
        <w:t>划定河北衡水湖国家级自然保护区所辖区域和未开发的农村地区为声环境</w:t>
      </w:r>
      <w:r w:rsidRPr="001C6291">
        <w:rPr>
          <w:sz w:val="24"/>
          <w:szCs w:val="20"/>
        </w:rPr>
        <w:t>1</w:t>
      </w:r>
      <w:r w:rsidRPr="001C6291">
        <w:rPr>
          <w:sz w:val="24"/>
          <w:szCs w:val="20"/>
        </w:rPr>
        <w:t>类区，执行《声环境质量标准》（</w:t>
      </w:r>
      <w:r w:rsidRPr="001C6291">
        <w:rPr>
          <w:sz w:val="24"/>
          <w:szCs w:val="20"/>
        </w:rPr>
        <w:t>GB 3096-2008</w:t>
      </w:r>
      <w:r w:rsidRPr="001C6291">
        <w:rPr>
          <w:sz w:val="24"/>
          <w:szCs w:val="20"/>
        </w:rPr>
        <w:t>）</w:t>
      </w:r>
      <w:r w:rsidRPr="001C6291">
        <w:rPr>
          <w:sz w:val="24"/>
          <w:szCs w:val="20"/>
        </w:rPr>
        <w:t>1</w:t>
      </w:r>
      <w:r w:rsidRPr="001C6291">
        <w:rPr>
          <w:sz w:val="24"/>
          <w:szCs w:val="20"/>
        </w:rPr>
        <w:t>类标准。</w:t>
      </w:r>
    </w:p>
    <w:p w:rsidR="001C6291" w:rsidRPr="001C6291" w:rsidRDefault="001C6291" w:rsidP="001C6291">
      <w:pPr>
        <w:spacing w:line="360" w:lineRule="auto"/>
        <w:ind w:firstLineChars="200" w:firstLine="480"/>
        <w:rPr>
          <w:sz w:val="24"/>
          <w:szCs w:val="20"/>
        </w:rPr>
      </w:pPr>
      <w:r w:rsidRPr="001C6291">
        <w:rPr>
          <w:sz w:val="24"/>
          <w:szCs w:val="20"/>
        </w:rPr>
        <w:t>（</w:t>
      </w:r>
      <w:r w:rsidRPr="001C6291">
        <w:rPr>
          <w:sz w:val="24"/>
          <w:szCs w:val="20"/>
        </w:rPr>
        <w:t>2</w:t>
      </w:r>
      <w:r w:rsidRPr="001C6291">
        <w:rPr>
          <w:sz w:val="24"/>
          <w:szCs w:val="20"/>
        </w:rPr>
        <w:t>）声环境</w:t>
      </w:r>
      <w:r w:rsidRPr="001C6291">
        <w:rPr>
          <w:sz w:val="24"/>
          <w:szCs w:val="20"/>
        </w:rPr>
        <w:t>2</w:t>
      </w:r>
      <w:r w:rsidRPr="001C6291">
        <w:rPr>
          <w:sz w:val="24"/>
          <w:szCs w:val="20"/>
        </w:rPr>
        <w:t>类区</w:t>
      </w:r>
    </w:p>
    <w:p w:rsidR="001C6291" w:rsidRPr="001C6291" w:rsidRDefault="001C6291" w:rsidP="001C6291">
      <w:pPr>
        <w:spacing w:line="360" w:lineRule="auto"/>
        <w:ind w:firstLineChars="200" w:firstLine="480"/>
        <w:rPr>
          <w:sz w:val="24"/>
          <w:szCs w:val="20"/>
        </w:rPr>
      </w:pPr>
      <w:r w:rsidRPr="001C6291">
        <w:rPr>
          <w:sz w:val="24"/>
          <w:szCs w:val="20"/>
        </w:rPr>
        <w:t>划定规划区内除去</w:t>
      </w:r>
      <w:r w:rsidRPr="001C6291">
        <w:rPr>
          <w:sz w:val="24"/>
          <w:szCs w:val="20"/>
        </w:rPr>
        <w:t>1</w:t>
      </w:r>
      <w:r w:rsidRPr="001C6291">
        <w:rPr>
          <w:sz w:val="24"/>
          <w:szCs w:val="20"/>
        </w:rPr>
        <w:t>类、</w:t>
      </w:r>
      <w:r w:rsidRPr="001C6291">
        <w:rPr>
          <w:sz w:val="24"/>
          <w:szCs w:val="20"/>
        </w:rPr>
        <w:t>3</w:t>
      </w:r>
      <w:r w:rsidRPr="001C6291">
        <w:rPr>
          <w:sz w:val="24"/>
          <w:szCs w:val="20"/>
        </w:rPr>
        <w:t>类、</w:t>
      </w:r>
      <w:r w:rsidRPr="001C6291">
        <w:rPr>
          <w:sz w:val="24"/>
          <w:szCs w:val="20"/>
        </w:rPr>
        <w:t>4</w:t>
      </w:r>
      <w:r w:rsidRPr="001C6291">
        <w:rPr>
          <w:sz w:val="24"/>
          <w:szCs w:val="20"/>
        </w:rPr>
        <w:t>类区以外的居住、商业和工业混杂区为声环境</w:t>
      </w:r>
      <w:r w:rsidRPr="001C6291">
        <w:rPr>
          <w:sz w:val="24"/>
          <w:szCs w:val="20"/>
        </w:rPr>
        <w:t>2</w:t>
      </w:r>
      <w:r w:rsidRPr="001C6291">
        <w:rPr>
          <w:sz w:val="24"/>
          <w:szCs w:val="20"/>
        </w:rPr>
        <w:t>类区，执行《声环境质量标准》（</w:t>
      </w:r>
      <w:r w:rsidRPr="001C6291">
        <w:rPr>
          <w:sz w:val="24"/>
          <w:szCs w:val="20"/>
        </w:rPr>
        <w:t>GB3096-2008</w:t>
      </w:r>
      <w:r w:rsidRPr="001C6291">
        <w:rPr>
          <w:sz w:val="24"/>
          <w:szCs w:val="20"/>
        </w:rPr>
        <w:t>）</w:t>
      </w:r>
      <w:r w:rsidRPr="001C6291">
        <w:rPr>
          <w:sz w:val="24"/>
          <w:szCs w:val="20"/>
        </w:rPr>
        <w:t>2</w:t>
      </w:r>
      <w:r w:rsidRPr="001C6291">
        <w:rPr>
          <w:sz w:val="24"/>
          <w:szCs w:val="20"/>
        </w:rPr>
        <w:t>类标准。</w:t>
      </w:r>
    </w:p>
    <w:p w:rsidR="001C6291" w:rsidRPr="001C6291" w:rsidRDefault="001C6291" w:rsidP="001C6291">
      <w:pPr>
        <w:spacing w:line="360" w:lineRule="auto"/>
        <w:ind w:firstLineChars="200" w:firstLine="480"/>
        <w:rPr>
          <w:sz w:val="24"/>
          <w:szCs w:val="20"/>
        </w:rPr>
      </w:pPr>
      <w:r w:rsidRPr="001C6291">
        <w:rPr>
          <w:sz w:val="24"/>
          <w:szCs w:val="20"/>
        </w:rPr>
        <w:t>（</w:t>
      </w:r>
      <w:r w:rsidRPr="001C6291">
        <w:rPr>
          <w:sz w:val="24"/>
          <w:szCs w:val="20"/>
        </w:rPr>
        <w:t>3</w:t>
      </w:r>
      <w:r w:rsidRPr="001C6291">
        <w:rPr>
          <w:sz w:val="24"/>
          <w:szCs w:val="20"/>
        </w:rPr>
        <w:t>）声环境</w:t>
      </w:r>
      <w:r w:rsidRPr="001C6291">
        <w:rPr>
          <w:sz w:val="24"/>
          <w:szCs w:val="20"/>
        </w:rPr>
        <w:t>3</w:t>
      </w:r>
      <w:r w:rsidRPr="001C6291">
        <w:rPr>
          <w:sz w:val="24"/>
          <w:szCs w:val="20"/>
        </w:rPr>
        <w:t>类区</w:t>
      </w:r>
    </w:p>
    <w:p w:rsidR="001C6291" w:rsidRPr="001C6291" w:rsidRDefault="001C6291" w:rsidP="001C6291">
      <w:pPr>
        <w:spacing w:line="360" w:lineRule="auto"/>
        <w:ind w:firstLineChars="200" w:firstLine="480"/>
        <w:rPr>
          <w:sz w:val="24"/>
          <w:szCs w:val="20"/>
        </w:rPr>
      </w:pPr>
      <w:r w:rsidRPr="001C6291">
        <w:rPr>
          <w:sz w:val="24"/>
          <w:szCs w:val="20"/>
        </w:rPr>
        <w:t>划定包括桃城经济开发区、衡东物流园区、衡德工业</w:t>
      </w:r>
      <w:r w:rsidR="00F42D95">
        <w:rPr>
          <w:rFonts w:hint="eastAsia"/>
          <w:sz w:val="24"/>
          <w:szCs w:val="20"/>
        </w:rPr>
        <w:t>园</w:t>
      </w:r>
      <w:r w:rsidRPr="001C6291">
        <w:rPr>
          <w:sz w:val="24"/>
          <w:szCs w:val="20"/>
        </w:rPr>
        <w:t>、冀衡循环经济园区、新材料产业园区等工业生产、仓储物流功能区为声环境</w:t>
      </w:r>
      <w:r w:rsidRPr="001C6291">
        <w:rPr>
          <w:sz w:val="24"/>
          <w:szCs w:val="20"/>
        </w:rPr>
        <w:t>3</w:t>
      </w:r>
      <w:r w:rsidRPr="001C6291">
        <w:rPr>
          <w:sz w:val="24"/>
          <w:szCs w:val="20"/>
        </w:rPr>
        <w:t>类区，执行《声环境质量标准》（</w:t>
      </w:r>
      <w:r w:rsidRPr="001C6291">
        <w:rPr>
          <w:sz w:val="24"/>
          <w:szCs w:val="20"/>
        </w:rPr>
        <w:t>GB 3096-2008</w:t>
      </w:r>
      <w:r w:rsidRPr="001C6291">
        <w:rPr>
          <w:sz w:val="24"/>
          <w:szCs w:val="20"/>
        </w:rPr>
        <w:t>）</w:t>
      </w:r>
      <w:r w:rsidRPr="001C6291">
        <w:rPr>
          <w:sz w:val="24"/>
          <w:szCs w:val="20"/>
        </w:rPr>
        <w:t>3</w:t>
      </w:r>
      <w:r w:rsidRPr="001C6291">
        <w:rPr>
          <w:sz w:val="24"/>
          <w:szCs w:val="20"/>
        </w:rPr>
        <w:t>类标准。</w:t>
      </w:r>
    </w:p>
    <w:p w:rsidR="001C6291" w:rsidRPr="001C6291" w:rsidRDefault="001C6291" w:rsidP="001C6291">
      <w:pPr>
        <w:spacing w:line="360" w:lineRule="auto"/>
        <w:ind w:firstLineChars="200" w:firstLine="480"/>
        <w:rPr>
          <w:sz w:val="24"/>
          <w:szCs w:val="20"/>
        </w:rPr>
      </w:pPr>
      <w:r w:rsidRPr="001C6291">
        <w:rPr>
          <w:sz w:val="24"/>
          <w:szCs w:val="20"/>
        </w:rPr>
        <w:t>（</w:t>
      </w:r>
      <w:r w:rsidRPr="001C6291">
        <w:rPr>
          <w:sz w:val="24"/>
          <w:szCs w:val="20"/>
        </w:rPr>
        <w:t>4</w:t>
      </w:r>
      <w:r w:rsidRPr="001C6291">
        <w:rPr>
          <w:sz w:val="24"/>
          <w:szCs w:val="20"/>
        </w:rPr>
        <w:t>）声环境</w:t>
      </w:r>
      <w:r w:rsidRPr="001C6291">
        <w:rPr>
          <w:sz w:val="24"/>
          <w:szCs w:val="20"/>
        </w:rPr>
        <w:t>4</w:t>
      </w:r>
      <w:r w:rsidRPr="001C6291">
        <w:rPr>
          <w:sz w:val="24"/>
          <w:szCs w:val="20"/>
        </w:rPr>
        <w:t>类区</w:t>
      </w:r>
    </w:p>
    <w:p w:rsidR="001C6291" w:rsidRPr="001C6291" w:rsidRDefault="001C6291" w:rsidP="001C6291">
      <w:pPr>
        <w:spacing w:line="360" w:lineRule="auto"/>
        <w:ind w:firstLineChars="200" w:firstLine="480"/>
        <w:rPr>
          <w:sz w:val="24"/>
          <w:szCs w:val="20"/>
        </w:rPr>
      </w:pPr>
      <w:r w:rsidRPr="001C6291">
        <w:rPr>
          <w:sz w:val="24"/>
          <w:szCs w:val="20"/>
        </w:rPr>
        <w:t>交通干线两侧，需要防止交通噪声对周围环境产生严重影响的区域。包括</w:t>
      </w:r>
      <w:r w:rsidRPr="001C6291">
        <w:rPr>
          <w:sz w:val="24"/>
          <w:szCs w:val="20"/>
        </w:rPr>
        <w:t>4a</w:t>
      </w:r>
      <w:r w:rsidRPr="001C6291">
        <w:rPr>
          <w:sz w:val="24"/>
          <w:szCs w:val="20"/>
        </w:rPr>
        <w:t>和</w:t>
      </w:r>
      <w:r w:rsidRPr="001C6291">
        <w:rPr>
          <w:sz w:val="24"/>
          <w:szCs w:val="20"/>
        </w:rPr>
        <w:t>4b</w:t>
      </w:r>
      <w:r w:rsidRPr="001C6291">
        <w:rPr>
          <w:sz w:val="24"/>
          <w:szCs w:val="20"/>
        </w:rPr>
        <w:t>两种类型。</w:t>
      </w:r>
    </w:p>
    <w:p w:rsidR="001C6291" w:rsidRPr="001C6291" w:rsidRDefault="001C6291" w:rsidP="001C6291">
      <w:pPr>
        <w:spacing w:line="360" w:lineRule="auto"/>
        <w:ind w:firstLineChars="200" w:firstLine="420"/>
        <w:rPr>
          <w:sz w:val="24"/>
          <w:szCs w:val="20"/>
        </w:rPr>
      </w:pPr>
      <w:r w:rsidRPr="001C6291">
        <w:rPr>
          <w:color w:val="000000"/>
          <w:szCs w:val="21"/>
        </w:rPr>
        <w:t>（</w:t>
      </w:r>
      <w:r w:rsidRPr="001C6291">
        <w:rPr>
          <w:color w:val="000000"/>
          <w:szCs w:val="21"/>
        </w:rPr>
        <w:t>5</w:t>
      </w:r>
      <w:r w:rsidRPr="001C6291">
        <w:rPr>
          <w:color w:val="000000"/>
          <w:szCs w:val="21"/>
        </w:rPr>
        <w:t>）</w:t>
      </w:r>
      <w:r w:rsidRPr="001C6291">
        <w:rPr>
          <w:sz w:val="24"/>
          <w:szCs w:val="20"/>
        </w:rPr>
        <w:t>特殊区域及边界处理的规定</w:t>
      </w:r>
    </w:p>
    <w:p w:rsidR="001C6291" w:rsidRPr="001C6291" w:rsidRDefault="001C6291" w:rsidP="001C6291">
      <w:pPr>
        <w:spacing w:line="360" w:lineRule="auto"/>
        <w:ind w:firstLineChars="200" w:firstLine="480"/>
        <w:rPr>
          <w:sz w:val="24"/>
          <w:szCs w:val="20"/>
        </w:rPr>
      </w:pPr>
      <w:r w:rsidRPr="001C6291">
        <w:rPr>
          <w:sz w:val="24"/>
          <w:szCs w:val="20"/>
        </w:rPr>
        <w:t>工业集中区中不足</w:t>
      </w:r>
      <w:r w:rsidRPr="001C6291">
        <w:rPr>
          <w:sz w:val="24"/>
          <w:szCs w:val="20"/>
        </w:rPr>
        <w:t>1</w:t>
      </w:r>
      <w:r w:rsidRPr="001C6291">
        <w:rPr>
          <w:sz w:val="24"/>
          <w:szCs w:val="20"/>
        </w:rPr>
        <w:t>平方千米的生活区（包括村庄等敏感目标），工业企业以及固定源设备（如冷却塔、变电设备等）的噪声影响到相邻居住区等敏感目标时，其环境噪声在敏感建筑物处应达到</w:t>
      </w:r>
      <w:r w:rsidRPr="001C6291">
        <w:rPr>
          <w:sz w:val="24"/>
          <w:szCs w:val="20"/>
        </w:rPr>
        <w:t>2</w:t>
      </w:r>
      <w:r w:rsidRPr="001C6291">
        <w:rPr>
          <w:sz w:val="24"/>
          <w:szCs w:val="20"/>
        </w:rPr>
        <w:t>类居住、商业、工业混杂区标准。</w:t>
      </w:r>
    </w:p>
    <w:p w:rsidR="001C6291" w:rsidRPr="001C6291" w:rsidRDefault="001C6291" w:rsidP="001C6291">
      <w:pPr>
        <w:spacing w:line="360" w:lineRule="auto"/>
        <w:ind w:firstLineChars="200" w:firstLine="480"/>
        <w:rPr>
          <w:sz w:val="24"/>
          <w:szCs w:val="20"/>
        </w:rPr>
      </w:pPr>
      <w:r w:rsidRPr="001C6291">
        <w:rPr>
          <w:sz w:val="24"/>
          <w:szCs w:val="20"/>
        </w:rPr>
        <w:t>位于功能区调高类别的工业企业，功能区划调整前批准的工业企业执行原功能区标准，新建企业执行新的功能区标准。</w:t>
      </w:r>
    </w:p>
    <w:p w:rsidR="001C6291" w:rsidRPr="001C6291" w:rsidRDefault="001C6291" w:rsidP="001C6291">
      <w:pPr>
        <w:pStyle w:val="20"/>
        <w:numPr>
          <w:ilvl w:val="0"/>
          <w:numId w:val="9"/>
        </w:numPr>
        <w:rPr>
          <w:rFonts w:ascii="宋体" w:eastAsia="宋体" w:hAnsi="宋体"/>
        </w:rPr>
      </w:pPr>
      <w:r w:rsidRPr="001C6291">
        <w:rPr>
          <w:rFonts w:ascii="宋体" w:eastAsia="宋体" w:hAnsi="宋体" w:hint="eastAsia"/>
        </w:rPr>
        <w:t>交通噪声污染防治</w:t>
      </w:r>
    </w:p>
    <w:p w:rsidR="001C6291" w:rsidRPr="001C6291" w:rsidRDefault="001C6291" w:rsidP="001C6291">
      <w:pPr>
        <w:spacing w:line="360" w:lineRule="auto"/>
        <w:ind w:firstLineChars="200" w:firstLine="480"/>
        <w:rPr>
          <w:sz w:val="24"/>
          <w:szCs w:val="20"/>
        </w:rPr>
      </w:pPr>
      <w:r w:rsidRPr="001C6291">
        <w:rPr>
          <w:rFonts w:hint="eastAsia"/>
          <w:sz w:val="24"/>
          <w:szCs w:val="20"/>
        </w:rPr>
        <w:t>衡水中学，哈励逊医院、住宅小区等声环境敏感区，人民路口、新华东街路口等城区以内各路段划入禁鸣区，实施禁鸣、限速、限行等措施；警车、消防车、</w:t>
      </w:r>
      <w:r w:rsidRPr="001C6291">
        <w:rPr>
          <w:rFonts w:hint="eastAsia"/>
          <w:sz w:val="24"/>
          <w:szCs w:val="20"/>
        </w:rPr>
        <w:lastRenderedPageBreak/>
        <w:t>救护车等机动车辆在非执行紧急任务时，禁止使用警报器。</w:t>
      </w:r>
    </w:p>
    <w:p w:rsidR="001C6291" w:rsidRPr="001C6291" w:rsidRDefault="001C6291" w:rsidP="001C6291">
      <w:pPr>
        <w:spacing w:line="360" w:lineRule="auto"/>
        <w:ind w:firstLineChars="200" w:firstLine="480"/>
        <w:rPr>
          <w:sz w:val="24"/>
          <w:szCs w:val="20"/>
        </w:rPr>
      </w:pPr>
      <w:r w:rsidRPr="001C6291">
        <w:rPr>
          <w:rFonts w:hint="eastAsia"/>
          <w:sz w:val="24"/>
          <w:szCs w:val="20"/>
        </w:rPr>
        <w:t>106</w:t>
      </w:r>
      <w:r w:rsidRPr="001C6291">
        <w:rPr>
          <w:rFonts w:hint="eastAsia"/>
          <w:sz w:val="24"/>
          <w:szCs w:val="20"/>
        </w:rPr>
        <w:t>国道、京九铁路、石德铁路等交通干线</w:t>
      </w:r>
      <w:r w:rsidRPr="001C6291">
        <w:rPr>
          <w:rFonts w:hint="eastAsia"/>
          <w:sz w:val="24"/>
          <w:szCs w:val="20"/>
        </w:rPr>
        <w:t>4</w:t>
      </w:r>
      <w:r w:rsidRPr="001C6291">
        <w:rPr>
          <w:rFonts w:hint="eastAsia"/>
          <w:sz w:val="24"/>
          <w:szCs w:val="20"/>
        </w:rPr>
        <w:t>类声环境功能区，城区段两侧声环境敏感区设置隔声屏障；沿线两侧</w:t>
      </w:r>
      <w:r w:rsidRPr="001C6291">
        <w:rPr>
          <w:rFonts w:hint="eastAsia"/>
          <w:sz w:val="24"/>
          <w:szCs w:val="20"/>
        </w:rPr>
        <w:t>500</w:t>
      </w:r>
      <w:r w:rsidRPr="001C6291">
        <w:rPr>
          <w:rFonts w:hint="eastAsia"/>
          <w:sz w:val="24"/>
          <w:szCs w:val="20"/>
        </w:rPr>
        <w:t>米新建住宅、文化、教育等项目，需开展声环境影响评价，采取建设绿化隔离带、安装降噪装置等综合措施。</w:t>
      </w:r>
    </w:p>
    <w:p w:rsidR="001C6291" w:rsidRPr="001C6291" w:rsidRDefault="001C6291" w:rsidP="001C6291">
      <w:pPr>
        <w:spacing w:line="360" w:lineRule="auto"/>
        <w:ind w:firstLineChars="200" w:firstLine="480"/>
        <w:rPr>
          <w:sz w:val="24"/>
          <w:szCs w:val="20"/>
        </w:rPr>
      </w:pPr>
      <w:r w:rsidRPr="001C6291">
        <w:rPr>
          <w:rFonts w:hint="eastAsia"/>
          <w:sz w:val="24"/>
          <w:szCs w:val="20"/>
        </w:rPr>
        <w:t>新建、扩建道路采用低噪路面</w:t>
      </w:r>
      <w:r w:rsidRPr="001C6291">
        <w:rPr>
          <w:sz w:val="24"/>
          <w:szCs w:val="20"/>
        </w:rPr>
        <w:t>破损、坑洼路面及时修补，新建道路、翻新道路全面采用低噪路面。</w:t>
      </w:r>
    </w:p>
    <w:p w:rsidR="001C6291" w:rsidRPr="001C6291" w:rsidRDefault="001C6291" w:rsidP="001C6291">
      <w:pPr>
        <w:spacing w:line="360" w:lineRule="auto"/>
        <w:ind w:firstLineChars="200" w:firstLine="480"/>
        <w:rPr>
          <w:sz w:val="24"/>
          <w:szCs w:val="20"/>
        </w:rPr>
      </w:pPr>
      <w:r w:rsidRPr="001C6291">
        <w:rPr>
          <w:sz w:val="24"/>
          <w:szCs w:val="20"/>
        </w:rPr>
        <w:t>限制三轮车、低速载货汽车等噪音大、污染重的车辆在城区内行驶，淘汰老旧车辆，鼓励自行车、步行等绿色出行方式。</w:t>
      </w:r>
    </w:p>
    <w:p w:rsidR="001C6291" w:rsidRPr="001C6291" w:rsidRDefault="001C6291" w:rsidP="001C6291">
      <w:pPr>
        <w:pStyle w:val="20"/>
        <w:numPr>
          <w:ilvl w:val="0"/>
          <w:numId w:val="9"/>
        </w:numPr>
        <w:rPr>
          <w:rFonts w:ascii="宋体" w:eastAsia="宋体" w:hAnsi="宋体"/>
        </w:rPr>
      </w:pPr>
      <w:r w:rsidRPr="001C6291">
        <w:rPr>
          <w:rFonts w:ascii="宋体" w:eastAsia="宋体" w:hAnsi="宋体" w:hint="eastAsia"/>
        </w:rPr>
        <w:t>社会生活噪声污染防治</w:t>
      </w:r>
    </w:p>
    <w:p w:rsidR="001C6291" w:rsidRPr="001C6291" w:rsidRDefault="001C6291" w:rsidP="001C6291">
      <w:pPr>
        <w:spacing w:line="360" w:lineRule="auto"/>
        <w:ind w:firstLineChars="200" w:firstLine="480"/>
        <w:rPr>
          <w:sz w:val="24"/>
          <w:szCs w:val="20"/>
        </w:rPr>
      </w:pPr>
      <w:r w:rsidRPr="001C6291">
        <w:rPr>
          <w:rFonts w:hint="eastAsia"/>
          <w:sz w:val="24"/>
          <w:szCs w:val="20"/>
        </w:rPr>
        <w:t>控制商业服务噪声，居住商业混杂区禁止使用室外音响，取缔扰民的马路市场；及时治理产生较大噪声的冷却塔、电梯间、水泵房和空调器等配套服务设施。划定专门区域作为广场舞等健身活动场所，规定活动时间和音响噪声限值，控制相关噪声对居民休息、学生学习的影响。在</w:t>
      </w:r>
      <w:r w:rsidRPr="001C6291">
        <w:rPr>
          <w:sz w:val="24"/>
          <w:szCs w:val="20"/>
        </w:rPr>
        <w:t>道路上</w:t>
      </w:r>
      <w:r w:rsidRPr="001C6291">
        <w:rPr>
          <w:rFonts w:hint="eastAsia"/>
          <w:sz w:val="24"/>
          <w:szCs w:val="20"/>
        </w:rPr>
        <w:t>使用高音广播喇叭和广播宣传车，应征求环保部门意见，且音量应控制在</w:t>
      </w:r>
      <w:r w:rsidRPr="001C6291">
        <w:rPr>
          <w:rFonts w:hint="eastAsia"/>
          <w:sz w:val="24"/>
          <w:szCs w:val="20"/>
        </w:rPr>
        <w:t>60</w:t>
      </w:r>
      <w:r w:rsidRPr="001C6291">
        <w:rPr>
          <w:rFonts w:hint="eastAsia"/>
          <w:sz w:val="24"/>
          <w:szCs w:val="20"/>
        </w:rPr>
        <w:t>分贝以内。控制文化娱乐场所噪声。娱乐场所取得文化经营许可证前，应征求同级环境保护行政主管部门的意见，</w:t>
      </w:r>
      <w:r w:rsidRPr="001C6291">
        <w:rPr>
          <w:sz w:val="24"/>
          <w:szCs w:val="20"/>
        </w:rPr>
        <w:t>并严格控制噪声</w:t>
      </w:r>
      <w:r w:rsidRPr="001C6291">
        <w:rPr>
          <w:rFonts w:hint="eastAsia"/>
          <w:sz w:val="24"/>
          <w:szCs w:val="20"/>
        </w:rPr>
        <w:t>制造</w:t>
      </w:r>
      <w:r w:rsidRPr="001C6291">
        <w:rPr>
          <w:sz w:val="24"/>
          <w:szCs w:val="20"/>
        </w:rPr>
        <w:t>时间，</w:t>
      </w:r>
      <w:r w:rsidRPr="001C6291">
        <w:rPr>
          <w:rFonts w:hint="eastAsia"/>
          <w:sz w:val="24"/>
          <w:szCs w:val="20"/>
        </w:rPr>
        <w:t>每日凌晨</w:t>
      </w:r>
      <w:r w:rsidRPr="001C6291">
        <w:rPr>
          <w:rFonts w:hint="eastAsia"/>
          <w:sz w:val="24"/>
          <w:szCs w:val="20"/>
        </w:rPr>
        <w:t>2</w:t>
      </w:r>
      <w:r w:rsidRPr="001C6291">
        <w:rPr>
          <w:rFonts w:hint="eastAsia"/>
          <w:sz w:val="24"/>
          <w:szCs w:val="20"/>
        </w:rPr>
        <w:t>时至上午</w:t>
      </w:r>
      <w:r w:rsidRPr="001C6291">
        <w:rPr>
          <w:rFonts w:hint="eastAsia"/>
          <w:sz w:val="24"/>
          <w:szCs w:val="20"/>
        </w:rPr>
        <w:t>8</w:t>
      </w:r>
      <w:r w:rsidRPr="001C6291">
        <w:rPr>
          <w:rFonts w:hint="eastAsia"/>
          <w:sz w:val="24"/>
          <w:szCs w:val="20"/>
        </w:rPr>
        <w:t>时不得营业。</w:t>
      </w:r>
    </w:p>
    <w:p w:rsidR="001C6291" w:rsidRPr="001C6291" w:rsidRDefault="001C6291" w:rsidP="001C6291">
      <w:pPr>
        <w:pStyle w:val="20"/>
        <w:numPr>
          <w:ilvl w:val="0"/>
          <w:numId w:val="9"/>
        </w:numPr>
        <w:rPr>
          <w:rFonts w:ascii="宋体" w:eastAsia="宋体" w:hAnsi="宋体"/>
        </w:rPr>
      </w:pPr>
      <w:r w:rsidRPr="001C6291">
        <w:rPr>
          <w:rFonts w:ascii="宋体" w:eastAsia="宋体" w:hAnsi="宋体" w:hint="eastAsia"/>
        </w:rPr>
        <w:t>工业噪声污染防治</w:t>
      </w:r>
    </w:p>
    <w:p w:rsidR="001C6291" w:rsidRPr="001C6291" w:rsidRDefault="001C6291" w:rsidP="001C6291">
      <w:pPr>
        <w:spacing w:line="360" w:lineRule="auto"/>
        <w:ind w:firstLineChars="200" w:firstLine="480"/>
        <w:rPr>
          <w:sz w:val="24"/>
          <w:szCs w:val="20"/>
        </w:rPr>
      </w:pPr>
      <w:r w:rsidRPr="001C6291">
        <w:rPr>
          <w:rFonts w:hint="eastAsia"/>
          <w:sz w:val="24"/>
          <w:szCs w:val="20"/>
        </w:rPr>
        <w:t>工业</w:t>
      </w:r>
      <w:r w:rsidRPr="001C6291">
        <w:rPr>
          <w:sz w:val="24"/>
          <w:szCs w:val="20"/>
        </w:rPr>
        <w:t>区域内执行</w:t>
      </w:r>
      <w:r w:rsidRPr="001C6291">
        <w:rPr>
          <w:rFonts w:hint="eastAsia"/>
          <w:sz w:val="24"/>
          <w:szCs w:val="20"/>
        </w:rPr>
        <w:t>《工业企业厂界环境噪声排放标准》，生产中向周围环境排放噪声的生产者，必须向环境保护部门申报登记拥有的排放设施，以及其噪声声源的种类、数量、强度。</w:t>
      </w:r>
    </w:p>
    <w:p w:rsidR="001C6291" w:rsidRPr="001C6291" w:rsidRDefault="001C6291" w:rsidP="001C6291">
      <w:pPr>
        <w:spacing w:line="360" w:lineRule="auto"/>
        <w:ind w:firstLineChars="200" w:firstLine="480"/>
        <w:rPr>
          <w:sz w:val="24"/>
          <w:szCs w:val="20"/>
        </w:rPr>
      </w:pPr>
      <w:r w:rsidRPr="001C6291">
        <w:rPr>
          <w:rFonts w:hint="eastAsia"/>
          <w:sz w:val="24"/>
          <w:szCs w:val="20"/>
        </w:rPr>
        <w:t>加强</w:t>
      </w:r>
      <w:r w:rsidRPr="001C6291">
        <w:rPr>
          <w:sz w:val="24"/>
          <w:szCs w:val="20"/>
        </w:rPr>
        <w:t>噪声污染</w:t>
      </w:r>
      <w:r w:rsidRPr="001C6291">
        <w:rPr>
          <w:rFonts w:hint="eastAsia"/>
          <w:sz w:val="24"/>
          <w:szCs w:val="20"/>
        </w:rPr>
        <w:t>源监管</w:t>
      </w:r>
      <w:r w:rsidRPr="001C6291">
        <w:rPr>
          <w:sz w:val="24"/>
          <w:szCs w:val="20"/>
        </w:rPr>
        <w:t>。</w:t>
      </w:r>
      <w:r w:rsidRPr="001C6291">
        <w:rPr>
          <w:rFonts w:hint="eastAsia"/>
          <w:sz w:val="24"/>
          <w:szCs w:val="20"/>
        </w:rPr>
        <w:t>不定期对工业企业进行噪声监测，整治噪声污染超标的企业；超标企业限期治理；限期治理后仍达不到规定的环境噪声排放标准的，限期迁移或停业。</w:t>
      </w:r>
    </w:p>
    <w:p w:rsidR="001C6291" w:rsidRPr="001C6291" w:rsidRDefault="001C6291" w:rsidP="001C6291">
      <w:pPr>
        <w:pStyle w:val="20"/>
        <w:numPr>
          <w:ilvl w:val="0"/>
          <w:numId w:val="9"/>
        </w:numPr>
        <w:rPr>
          <w:rFonts w:ascii="宋体" w:eastAsia="宋体" w:hAnsi="宋体"/>
        </w:rPr>
      </w:pPr>
      <w:r w:rsidRPr="001C6291">
        <w:rPr>
          <w:rFonts w:ascii="宋体" w:eastAsia="宋体" w:hAnsi="宋体" w:hint="eastAsia"/>
        </w:rPr>
        <w:t>施工噪声污染防治</w:t>
      </w:r>
    </w:p>
    <w:p w:rsidR="001C6291" w:rsidRPr="001C6291" w:rsidRDefault="001C6291" w:rsidP="001C6291">
      <w:pPr>
        <w:spacing w:line="360" w:lineRule="auto"/>
        <w:ind w:firstLineChars="200" w:firstLine="480"/>
        <w:rPr>
          <w:sz w:val="24"/>
          <w:szCs w:val="20"/>
        </w:rPr>
      </w:pPr>
      <w:r w:rsidRPr="001C6291">
        <w:rPr>
          <w:rFonts w:hint="eastAsia"/>
          <w:sz w:val="24"/>
          <w:szCs w:val="20"/>
        </w:rPr>
        <w:t>实施绿色施工制度，执行《建筑施工场界噪声限值》，施工</w:t>
      </w:r>
      <w:r w:rsidRPr="001C6291">
        <w:rPr>
          <w:sz w:val="24"/>
          <w:szCs w:val="20"/>
        </w:rPr>
        <w:t>噪声应</w:t>
      </w:r>
      <w:r w:rsidRPr="001C6291">
        <w:rPr>
          <w:rFonts w:hint="eastAsia"/>
          <w:sz w:val="24"/>
          <w:szCs w:val="20"/>
        </w:rPr>
        <w:t>符合所在</w:t>
      </w:r>
      <w:r w:rsidRPr="001C6291">
        <w:rPr>
          <w:rFonts w:hint="eastAsia"/>
          <w:sz w:val="24"/>
          <w:szCs w:val="20"/>
        </w:rPr>
        <w:lastRenderedPageBreak/>
        <w:t>声环境功能区噪声标准，严格限制在敏感区内夜间进行产生噪声污染的施工作业，施工噪声排放需申报和进行公告。</w:t>
      </w:r>
    </w:p>
    <w:p w:rsidR="001C6291" w:rsidRPr="001C6291" w:rsidRDefault="001C6291" w:rsidP="001C6291">
      <w:pPr>
        <w:spacing w:line="360" w:lineRule="auto"/>
        <w:ind w:firstLineChars="200" w:firstLine="480"/>
        <w:rPr>
          <w:sz w:val="24"/>
          <w:szCs w:val="20"/>
        </w:rPr>
      </w:pPr>
      <w:r w:rsidRPr="001C6291">
        <w:rPr>
          <w:rFonts w:hint="eastAsia"/>
          <w:sz w:val="24"/>
          <w:szCs w:val="20"/>
        </w:rPr>
        <w:t>推广</w:t>
      </w:r>
      <w:r w:rsidRPr="001C6291">
        <w:rPr>
          <w:sz w:val="24"/>
          <w:szCs w:val="20"/>
        </w:rPr>
        <w:t>施工无噪</w:t>
      </w:r>
      <w:r w:rsidRPr="001C6291">
        <w:rPr>
          <w:rFonts w:hint="eastAsia"/>
          <w:sz w:val="24"/>
          <w:szCs w:val="20"/>
        </w:rPr>
        <w:t>、</w:t>
      </w:r>
      <w:r w:rsidRPr="001C6291">
        <w:rPr>
          <w:sz w:val="24"/>
          <w:szCs w:val="20"/>
        </w:rPr>
        <w:t>低噪</w:t>
      </w:r>
      <w:r w:rsidRPr="001C6291">
        <w:rPr>
          <w:rFonts w:hint="eastAsia"/>
          <w:sz w:val="24"/>
          <w:szCs w:val="20"/>
        </w:rPr>
        <w:t>的</w:t>
      </w:r>
      <w:r w:rsidRPr="001C6291">
        <w:rPr>
          <w:sz w:val="24"/>
          <w:szCs w:val="20"/>
        </w:rPr>
        <w:t>施工</w:t>
      </w:r>
      <w:r w:rsidRPr="001C6291">
        <w:rPr>
          <w:rFonts w:hint="eastAsia"/>
          <w:sz w:val="24"/>
          <w:szCs w:val="20"/>
        </w:rPr>
        <w:t>技术</w:t>
      </w:r>
      <w:r w:rsidRPr="001C6291">
        <w:rPr>
          <w:sz w:val="24"/>
          <w:szCs w:val="20"/>
        </w:rPr>
        <w:t>和施工机械，</w:t>
      </w:r>
      <w:r w:rsidRPr="001C6291">
        <w:rPr>
          <w:rFonts w:hint="eastAsia"/>
          <w:sz w:val="24"/>
          <w:szCs w:val="20"/>
        </w:rPr>
        <w:t>对于</w:t>
      </w:r>
      <w:r w:rsidRPr="001C6291">
        <w:rPr>
          <w:sz w:val="24"/>
          <w:szCs w:val="20"/>
        </w:rPr>
        <w:t>高噪声施工</w:t>
      </w:r>
      <w:r w:rsidRPr="001C6291">
        <w:rPr>
          <w:rFonts w:hint="eastAsia"/>
          <w:sz w:val="24"/>
          <w:szCs w:val="20"/>
        </w:rPr>
        <w:t>作业</w:t>
      </w:r>
      <w:r w:rsidRPr="001C6291">
        <w:rPr>
          <w:sz w:val="24"/>
          <w:szCs w:val="20"/>
        </w:rPr>
        <w:t>范围及机械，需在施工过程中全场进行</w:t>
      </w:r>
      <w:r w:rsidRPr="001C6291">
        <w:rPr>
          <w:rFonts w:hint="eastAsia"/>
          <w:sz w:val="24"/>
          <w:szCs w:val="20"/>
        </w:rPr>
        <w:t>消声减振</w:t>
      </w:r>
      <w:r w:rsidRPr="001C6291">
        <w:rPr>
          <w:sz w:val="24"/>
          <w:szCs w:val="20"/>
        </w:rPr>
        <w:t>。</w:t>
      </w:r>
    </w:p>
    <w:p w:rsidR="001C6291" w:rsidRPr="001C6291" w:rsidRDefault="001C6291" w:rsidP="00E75F0F">
      <w:pPr>
        <w:pStyle w:val="1"/>
        <w:numPr>
          <w:ilvl w:val="0"/>
          <w:numId w:val="7"/>
        </w:numPr>
        <w:rPr>
          <w:rFonts w:ascii="黑体" w:eastAsia="黑体" w:hAnsi="黑体"/>
          <w:color w:val="000000"/>
          <w:lang w:val="x-none" w:eastAsia="x-none"/>
          <w14:shadow w14:blurRad="50800" w14:dist="38100" w14:dir="2700000" w14:sx="100000" w14:sy="100000" w14:kx="0" w14:ky="0" w14:algn="tl">
            <w14:srgbClr w14:val="000000">
              <w14:alpha w14:val="60000"/>
            </w14:srgbClr>
          </w14:shadow>
        </w:rPr>
      </w:pPr>
      <w:bookmarkStart w:id="19" w:name="_Toc433645479"/>
      <w:bookmarkStart w:id="20" w:name="_Toc479778258"/>
      <w:bookmarkStart w:id="21" w:name="_Toc491719775"/>
      <w:r w:rsidRPr="001C6291">
        <w:rPr>
          <w:rFonts w:ascii="黑体" w:eastAsia="黑体" w:hAnsi="黑体"/>
          <w:color w:val="000000"/>
          <w:lang w:val="x-none" w:eastAsia="x-none"/>
          <w14:shadow w14:blurRad="50800" w14:dist="38100" w14:dir="2700000" w14:sx="100000" w14:sy="100000" w14:kx="0" w14:ky="0" w14:algn="tl">
            <w14:srgbClr w14:val="000000">
              <w14:alpha w14:val="60000"/>
            </w14:srgbClr>
          </w14:shadow>
        </w:rPr>
        <w:br w:type="column"/>
      </w:r>
      <w:bookmarkStart w:id="22" w:name="_Toc513638724"/>
      <w:r w:rsidRPr="00E75F0F">
        <w:rPr>
          <w:rFonts w:hint="eastAsia"/>
        </w:rPr>
        <w:lastRenderedPageBreak/>
        <w:t>固体废弃物污染防治规划</w:t>
      </w:r>
      <w:bookmarkEnd w:id="19"/>
      <w:bookmarkEnd w:id="20"/>
      <w:bookmarkEnd w:id="21"/>
      <w:bookmarkEnd w:id="22"/>
    </w:p>
    <w:p w:rsidR="001C6291" w:rsidRPr="001C6291" w:rsidRDefault="001C6291" w:rsidP="00E75F0F">
      <w:pPr>
        <w:pStyle w:val="20"/>
        <w:numPr>
          <w:ilvl w:val="0"/>
          <w:numId w:val="10"/>
        </w:numPr>
        <w:rPr>
          <w:rFonts w:ascii="宋体" w:eastAsia="宋体" w:hAnsi="宋体"/>
        </w:rPr>
      </w:pPr>
      <w:r w:rsidRPr="001C6291">
        <w:rPr>
          <w:rFonts w:ascii="宋体" w:eastAsia="宋体" w:hAnsi="宋体" w:hint="eastAsia"/>
        </w:rPr>
        <w:t>生活垃圾污染防治</w:t>
      </w:r>
    </w:p>
    <w:p w:rsidR="001C6291" w:rsidRPr="001C6291" w:rsidRDefault="001C6291" w:rsidP="001C6291">
      <w:pPr>
        <w:spacing w:line="360" w:lineRule="auto"/>
        <w:ind w:firstLineChars="200" w:firstLine="480"/>
        <w:rPr>
          <w:sz w:val="24"/>
          <w:szCs w:val="20"/>
        </w:rPr>
      </w:pPr>
      <w:r w:rsidRPr="001C6291">
        <w:rPr>
          <w:rFonts w:hint="eastAsia"/>
          <w:sz w:val="24"/>
          <w:szCs w:val="20"/>
        </w:rPr>
        <w:t>遵循</w:t>
      </w:r>
      <w:r w:rsidRPr="001C6291">
        <w:rPr>
          <w:sz w:val="24"/>
          <w:szCs w:val="20"/>
        </w:rPr>
        <w:t>“</w:t>
      </w:r>
      <w:r w:rsidRPr="001C6291">
        <w:rPr>
          <w:rFonts w:hint="eastAsia"/>
          <w:sz w:val="24"/>
          <w:szCs w:val="20"/>
        </w:rPr>
        <w:t>减量化</w:t>
      </w:r>
      <w:r w:rsidRPr="001C6291">
        <w:rPr>
          <w:sz w:val="24"/>
          <w:szCs w:val="20"/>
        </w:rPr>
        <w:t>、</w:t>
      </w:r>
      <w:r w:rsidRPr="001C6291">
        <w:rPr>
          <w:rFonts w:hint="eastAsia"/>
          <w:sz w:val="24"/>
          <w:szCs w:val="20"/>
        </w:rPr>
        <w:t>无害化、</w:t>
      </w:r>
      <w:r w:rsidRPr="001C6291">
        <w:rPr>
          <w:sz w:val="24"/>
          <w:szCs w:val="20"/>
        </w:rPr>
        <w:t>资源化</w:t>
      </w:r>
      <w:r w:rsidRPr="001C6291">
        <w:rPr>
          <w:sz w:val="24"/>
          <w:szCs w:val="20"/>
        </w:rPr>
        <w:t>”</w:t>
      </w:r>
      <w:r w:rsidRPr="001C6291">
        <w:rPr>
          <w:rFonts w:hint="eastAsia"/>
          <w:sz w:val="24"/>
          <w:szCs w:val="20"/>
        </w:rPr>
        <w:t>原则</w:t>
      </w:r>
      <w:r w:rsidRPr="001C6291">
        <w:rPr>
          <w:sz w:val="24"/>
          <w:szCs w:val="20"/>
        </w:rPr>
        <w:t>，</w:t>
      </w:r>
      <w:r w:rsidRPr="001C6291">
        <w:rPr>
          <w:rFonts w:hint="eastAsia"/>
          <w:sz w:val="24"/>
          <w:szCs w:val="20"/>
        </w:rPr>
        <w:t>发展垃圾生物堆肥、焚烧处理和卫生填埋相组合的综合处置模式，减少原生垃圾直接填埋。</w:t>
      </w:r>
    </w:p>
    <w:p w:rsidR="001C6291" w:rsidRPr="001C6291" w:rsidRDefault="001C6291" w:rsidP="001C6291">
      <w:pPr>
        <w:spacing w:line="360" w:lineRule="auto"/>
        <w:ind w:firstLineChars="200" w:firstLine="480"/>
        <w:rPr>
          <w:sz w:val="24"/>
          <w:szCs w:val="20"/>
        </w:rPr>
      </w:pPr>
      <w:r w:rsidRPr="001C6291">
        <w:rPr>
          <w:rFonts w:hint="eastAsia"/>
          <w:sz w:val="24"/>
          <w:szCs w:val="20"/>
        </w:rPr>
        <w:t>生活垃圾处置设施服务范围覆盖全部城乡，根据各区垃圾收运水平配套建设以转运站为主的垃圾收运系统，形成分片区集中处理体系，确保生活垃圾不直接排入或滞留在自然环境之中，造成严重市容影响和环境危害。实施垃圾填埋场和农村简易垃圾堆场生态修复。</w:t>
      </w:r>
    </w:p>
    <w:p w:rsidR="001C6291" w:rsidRPr="001C6291" w:rsidRDefault="001C6291" w:rsidP="001C6291">
      <w:pPr>
        <w:spacing w:line="360" w:lineRule="auto"/>
        <w:ind w:firstLineChars="200" w:firstLine="480"/>
        <w:rPr>
          <w:sz w:val="24"/>
          <w:szCs w:val="20"/>
        </w:rPr>
      </w:pPr>
      <w:r w:rsidRPr="001C6291">
        <w:rPr>
          <w:rFonts w:hint="eastAsia"/>
          <w:sz w:val="24"/>
          <w:szCs w:val="20"/>
        </w:rPr>
        <w:t>近期都市区建成区居民小区和单位的生活垃圾分类收集覆盖率达到</w:t>
      </w:r>
      <w:r w:rsidRPr="001C6291">
        <w:rPr>
          <w:rFonts w:hint="eastAsia"/>
          <w:sz w:val="24"/>
          <w:szCs w:val="20"/>
        </w:rPr>
        <w:t>50%</w:t>
      </w:r>
      <w:r w:rsidRPr="001C6291">
        <w:rPr>
          <w:rFonts w:hint="eastAsia"/>
          <w:sz w:val="24"/>
          <w:szCs w:val="20"/>
        </w:rPr>
        <w:t>，远期达到</w:t>
      </w:r>
      <w:r w:rsidRPr="001C6291">
        <w:rPr>
          <w:rFonts w:hint="eastAsia"/>
          <w:sz w:val="24"/>
          <w:szCs w:val="20"/>
        </w:rPr>
        <w:t>80%</w:t>
      </w:r>
      <w:r w:rsidRPr="001C6291">
        <w:rPr>
          <w:rFonts w:hint="eastAsia"/>
          <w:sz w:val="24"/>
          <w:szCs w:val="20"/>
        </w:rPr>
        <w:t>。城镇生活垃圾无害化处理率近期、远期均达到</w:t>
      </w:r>
      <w:r w:rsidRPr="001C6291">
        <w:rPr>
          <w:sz w:val="24"/>
          <w:szCs w:val="20"/>
        </w:rPr>
        <w:t>100%</w:t>
      </w:r>
      <w:r w:rsidRPr="001C6291">
        <w:rPr>
          <w:rFonts w:hint="eastAsia"/>
          <w:sz w:val="24"/>
          <w:szCs w:val="20"/>
        </w:rPr>
        <w:t>。</w:t>
      </w:r>
    </w:p>
    <w:p w:rsidR="001C6291" w:rsidRPr="001C6291" w:rsidRDefault="001C6291" w:rsidP="00E75F0F">
      <w:pPr>
        <w:pStyle w:val="20"/>
        <w:numPr>
          <w:ilvl w:val="0"/>
          <w:numId w:val="10"/>
        </w:numPr>
        <w:rPr>
          <w:rFonts w:ascii="宋体" w:eastAsia="宋体" w:hAnsi="宋体"/>
        </w:rPr>
      </w:pPr>
      <w:r w:rsidRPr="001C6291">
        <w:rPr>
          <w:rFonts w:ascii="宋体" w:eastAsia="宋体" w:hAnsi="宋体" w:hint="eastAsia"/>
        </w:rPr>
        <w:t>工业废弃物污染防治</w:t>
      </w:r>
    </w:p>
    <w:p w:rsidR="001C6291" w:rsidRPr="001C6291" w:rsidRDefault="001C6291" w:rsidP="001C6291">
      <w:pPr>
        <w:spacing w:line="360" w:lineRule="auto"/>
        <w:ind w:firstLineChars="200" w:firstLine="480"/>
        <w:rPr>
          <w:sz w:val="24"/>
          <w:szCs w:val="20"/>
        </w:rPr>
      </w:pPr>
      <w:r w:rsidRPr="001C6291">
        <w:rPr>
          <w:rFonts w:hint="eastAsia"/>
          <w:sz w:val="24"/>
          <w:szCs w:val="20"/>
        </w:rPr>
        <w:t>以衡水市高新区为重点，</w:t>
      </w:r>
      <w:r w:rsidRPr="001C6291">
        <w:rPr>
          <w:rFonts w:hint="eastAsia"/>
          <w:sz w:val="24"/>
          <w:szCs w:val="20"/>
        </w:rPr>
        <w:t>2020</w:t>
      </w:r>
      <w:r w:rsidRPr="001C6291">
        <w:rPr>
          <w:rFonts w:hint="eastAsia"/>
          <w:sz w:val="24"/>
          <w:szCs w:val="20"/>
        </w:rPr>
        <w:t>年全面完成清洁生产审核和</w:t>
      </w:r>
      <w:r w:rsidRPr="001C6291">
        <w:rPr>
          <w:rFonts w:hint="eastAsia"/>
          <w:sz w:val="24"/>
          <w:szCs w:val="20"/>
        </w:rPr>
        <w:t>ISO14000</w:t>
      </w:r>
      <w:r w:rsidRPr="001C6291">
        <w:rPr>
          <w:rFonts w:hint="eastAsia"/>
          <w:sz w:val="24"/>
          <w:szCs w:val="20"/>
        </w:rPr>
        <w:t>环境管理体系认证，大力推动固废减量。都市</w:t>
      </w:r>
      <w:bookmarkStart w:id="23" w:name="_GoBack"/>
      <w:bookmarkEnd w:id="23"/>
      <w:r w:rsidRPr="001C6291">
        <w:rPr>
          <w:rFonts w:hint="eastAsia"/>
          <w:sz w:val="24"/>
          <w:szCs w:val="20"/>
        </w:rPr>
        <w:t>区</w:t>
      </w:r>
      <w:r w:rsidRPr="001C6291">
        <w:rPr>
          <w:rFonts w:hint="eastAsia"/>
          <w:sz w:val="24"/>
          <w:szCs w:val="20"/>
        </w:rPr>
        <w:t>2020</w:t>
      </w:r>
      <w:r w:rsidRPr="001C6291">
        <w:rPr>
          <w:rFonts w:hint="eastAsia"/>
          <w:sz w:val="24"/>
          <w:szCs w:val="20"/>
        </w:rPr>
        <w:t>年、</w:t>
      </w:r>
      <w:r w:rsidRPr="001C6291">
        <w:rPr>
          <w:rFonts w:hint="eastAsia"/>
          <w:sz w:val="24"/>
          <w:szCs w:val="20"/>
        </w:rPr>
        <w:t>2030</w:t>
      </w:r>
      <w:r w:rsidRPr="001C6291">
        <w:rPr>
          <w:rFonts w:hint="eastAsia"/>
          <w:sz w:val="24"/>
          <w:szCs w:val="20"/>
        </w:rPr>
        <w:t>年工业固废综合利用率分别达到</w:t>
      </w:r>
      <w:r w:rsidRPr="001C6291">
        <w:rPr>
          <w:rFonts w:hint="eastAsia"/>
          <w:sz w:val="24"/>
          <w:szCs w:val="20"/>
        </w:rPr>
        <w:t>50%</w:t>
      </w:r>
      <w:r w:rsidRPr="001C6291">
        <w:rPr>
          <w:rFonts w:hint="eastAsia"/>
          <w:sz w:val="24"/>
          <w:szCs w:val="20"/>
        </w:rPr>
        <w:t>、</w:t>
      </w:r>
      <w:r w:rsidRPr="001C6291">
        <w:rPr>
          <w:rFonts w:hint="eastAsia"/>
          <w:sz w:val="24"/>
          <w:szCs w:val="20"/>
        </w:rPr>
        <w:t>60%</w:t>
      </w:r>
      <w:r w:rsidRPr="001C6291">
        <w:rPr>
          <w:rFonts w:hint="eastAsia"/>
          <w:sz w:val="24"/>
          <w:szCs w:val="20"/>
        </w:rPr>
        <w:t>。</w:t>
      </w:r>
    </w:p>
    <w:p w:rsidR="001C6291" w:rsidRPr="001C6291" w:rsidRDefault="001C6291" w:rsidP="001C6291">
      <w:pPr>
        <w:spacing w:line="360" w:lineRule="auto"/>
        <w:ind w:firstLineChars="200" w:firstLine="480"/>
        <w:rPr>
          <w:sz w:val="24"/>
          <w:szCs w:val="20"/>
        </w:rPr>
      </w:pPr>
      <w:r w:rsidRPr="001C6291">
        <w:rPr>
          <w:rFonts w:hint="eastAsia"/>
          <w:sz w:val="24"/>
          <w:szCs w:val="20"/>
        </w:rPr>
        <w:t>建立环保牵头的衡水市固体废物管理协调工作机制，对固体废物的产生、收集、运输、处理处置实施全过程管理控制。建立衡水市固体废物数据库和衡水市固体废物处理处置信息平台。</w:t>
      </w:r>
    </w:p>
    <w:p w:rsidR="001C6291" w:rsidRPr="001C6291" w:rsidRDefault="001C6291" w:rsidP="00E75F0F">
      <w:pPr>
        <w:pStyle w:val="20"/>
        <w:numPr>
          <w:ilvl w:val="0"/>
          <w:numId w:val="10"/>
        </w:numPr>
        <w:rPr>
          <w:rFonts w:ascii="宋体" w:eastAsia="宋体" w:hAnsi="宋体"/>
        </w:rPr>
      </w:pPr>
      <w:r w:rsidRPr="001C6291">
        <w:rPr>
          <w:rFonts w:ascii="宋体" w:eastAsia="宋体" w:hAnsi="宋体" w:hint="eastAsia"/>
        </w:rPr>
        <w:t>危险废弃物污染防治</w:t>
      </w:r>
    </w:p>
    <w:p w:rsidR="001C6291" w:rsidRPr="001C6291" w:rsidRDefault="001C6291" w:rsidP="001C6291">
      <w:pPr>
        <w:spacing w:line="360" w:lineRule="auto"/>
        <w:ind w:firstLineChars="200" w:firstLine="480"/>
        <w:rPr>
          <w:sz w:val="24"/>
          <w:szCs w:val="20"/>
        </w:rPr>
      </w:pPr>
      <w:r w:rsidRPr="001C6291">
        <w:rPr>
          <w:rFonts w:hint="eastAsia"/>
          <w:sz w:val="24"/>
          <w:szCs w:val="20"/>
        </w:rPr>
        <w:t>实施危险废弃物全过程管理，执行危险废物经营许可证准入和动态淘汰制度，严禁危险废物非法转移、倾倒。危险废弃物选择资源化利用、焚烧处理与安全填埋处置相结合的综合处理模式；规划建设危险废弃物处置中心。</w:t>
      </w:r>
    </w:p>
    <w:p w:rsidR="001C6291" w:rsidRPr="001C6291" w:rsidRDefault="001C6291" w:rsidP="00E75F0F">
      <w:pPr>
        <w:pStyle w:val="20"/>
        <w:numPr>
          <w:ilvl w:val="0"/>
          <w:numId w:val="10"/>
        </w:numPr>
        <w:rPr>
          <w:rFonts w:ascii="宋体" w:eastAsia="宋体" w:hAnsi="宋体"/>
        </w:rPr>
      </w:pPr>
      <w:r w:rsidRPr="001C6291">
        <w:rPr>
          <w:rFonts w:ascii="宋体" w:eastAsia="宋体" w:hAnsi="宋体" w:hint="eastAsia"/>
        </w:rPr>
        <w:t>建筑垃圾及余泥土方处置</w:t>
      </w:r>
    </w:p>
    <w:p w:rsidR="001C6291" w:rsidRPr="001C6291" w:rsidRDefault="001C6291" w:rsidP="001C6291">
      <w:pPr>
        <w:spacing w:line="360" w:lineRule="auto"/>
        <w:ind w:firstLineChars="200" w:firstLine="480"/>
        <w:rPr>
          <w:sz w:val="24"/>
          <w:szCs w:val="20"/>
        </w:rPr>
      </w:pPr>
      <w:r w:rsidRPr="001C6291">
        <w:rPr>
          <w:rFonts w:hint="eastAsia"/>
          <w:sz w:val="24"/>
          <w:szCs w:val="20"/>
        </w:rPr>
        <w:t>推行绿色施工，鼓励建筑垃圾现场分类回收；建筑垃圾资源化利用重点应用</w:t>
      </w:r>
      <w:r w:rsidRPr="001C6291">
        <w:rPr>
          <w:rFonts w:hint="eastAsia"/>
          <w:sz w:val="24"/>
          <w:szCs w:val="20"/>
        </w:rPr>
        <w:lastRenderedPageBreak/>
        <w:t>于铺路、制砖和直接回用等。实行建筑垃圾排放收费制度，提高建筑垃圾回收利用率。</w:t>
      </w:r>
    </w:p>
    <w:p w:rsidR="001C6291" w:rsidRDefault="001C6291" w:rsidP="001C6291">
      <w:pPr>
        <w:spacing w:line="360" w:lineRule="auto"/>
        <w:ind w:firstLineChars="200" w:firstLine="480"/>
        <w:rPr>
          <w:sz w:val="24"/>
          <w:szCs w:val="20"/>
        </w:rPr>
      </w:pPr>
      <w:r w:rsidRPr="001C6291">
        <w:rPr>
          <w:rFonts w:hint="eastAsia"/>
          <w:sz w:val="24"/>
          <w:szCs w:val="20"/>
        </w:rPr>
        <w:t>制定生活污水处理厂污泥利用处置规划，建设利用处置设施，提高污泥利用处置率；加强污泥利用处置的全过程追踪监督管理。</w:t>
      </w:r>
      <w:bookmarkStart w:id="24" w:name="_Toc433645480"/>
      <w:bookmarkStart w:id="25" w:name="_Toc479778260"/>
      <w:bookmarkStart w:id="26" w:name="_Toc491719777"/>
    </w:p>
    <w:p w:rsidR="00CE3107" w:rsidRPr="00CE3107" w:rsidRDefault="00CE3107" w:rsidP="00CE3107">
      <w:pPr>
        <w:pStyle w:val="1"/>
        <w:numPr>
          <w:ilvl w:val="0"/>
          <w:numId w:val="7"/>
        </w:numPr>
      </w:pPr>
      <w:r w:rsidRPr="00CE3107">
        <w:rPr>
          <w:rFonts w:hint="eastAsia"/>
        </w:rPr>
        <w:t>核与辐射污染防治规划</w:t>
      </w:r>
    </w:p>
    <w:p w:rsidR="00CE3107" w:rsidRPr="00CE6FD8" w:rsidRDefault="00CE3107" w:rsidP="00CE6FD8">
      <w:pPr>
        <w:pStyle w:val="20"/>
        <w:numPr>
          <w:ilvl w:val="0"/>
          <w:numId w:val="21"/>
        </w:numPr>
        <w:rPr>
          <w:rFonts w:ascii="宋体" w:eastAsia="宋体" w:hAnsi="宋体"/>
        </w:rPr>
      </w:pPr>
      <w:r w:rsidRPr="00CE6FD8">
        <w:rPr>
          <w:rFonts w:ascii="宋体" w:eastAsia="宋体" w:hAnsi="宋体" w:hint="eastAsia"/>
        </w:rPr>
        <w:t>健全和完善辐射环境管理制度</w:t>
      </w:r>
    </w:p>
    <w:p w:rsidR="00CE3107" w:rsidRPr="00CE3107" w:rsidRDefault="00CE3107" w:rsidP="00CE3107">
      <w:pPr>
        <w:spacing w:line="360" w:lineRule="auto"/>
        <w:ind w:firstLineChars="200" w:firstLine="480"/>
        <w:rPr>
          <w:sz w:val="24"/>
          <w:szCs w:val="20"/>
        </w:rPr>
      </w:pPr>
      <w:r w:rsidRPr="00CE3107">
        <w:rPr>
          <w:rFonts w:hint="eastAsia"/>
          <w:sz w:val="24"/>
          <w:szCs w:val="20"/>
        </w:rPr>
        <w:t>结合衡水市实际情况，制定配套法规规章，为辐射环境管理工作提供依据。落实辐射安全许可证制度，督促执证单位全面制定并落实辐射管理规章制度，强化涉核单位的辐射环境监督管理。</w:t>
      </w:r>
    </w:p>
    <w:p w:rsidR="00CE3107" w:rsidRPr="00CE6FD8" w:rsidRDefault="00CE3107" w:rsidP="00CE6FD8">
      <w:pPr>
        <w:pStyle w:val="20"/>
        <w:numPr>
          <w:ilvl w:val="0"/>
          <w:numId w:val="21"/>
        </w:numPr>
        <w:rPr>
          <w:rFonts w:ascii="宋体" w:eastAsia="宋体" w:hAnsi="宋体"/>
        </w:rPr>
      </w:pPr>
      <w:r w:rsidRPr="00CE6FD8">
        <w:rPr>
          <w:rFonts w:ascii="宋体" w:eastAsia="宋体" w:hAnsi="宋体" w:hint="eastAsia"/>
        </w:rPr>
        <w:t>核安全与辐射环境的监管体系</w:t>
      </w:r>
    </w:p>
    <w:p w:rsidR="00CE3107" w:rsidRPr="00CE3107" w:rsidRDefault="00CE3107" w:rsidP="00CE3107">
      <w:pPr>
        <w:spacing w:line="360" w:lineRule="auto"/>
        <w:ind w:firstLineChars="200" w:firstLine="480"/>
        <w:rPr>
          <w:sz w:val="24"/>
          <w:szCs w:val="20"/>
        </w:rPr>
      </w:pPr>
      <w:r w:rsidRPr="00CE3107">
        <w:rPr>
          <w:rFonts w:hint="eastAsia"/>
          <w:sz w:val="24"/>
          <w:szCs w:val="20"/>
        </w:rPr>
        <w:t>全面开展涉核源单位检查和监测，定期对生产、使用放射性同位素和射线装置的单位进行辐射环境质量监测。</w:t>
      </w:r>
    </w:p>
    <w:p w:rsidR="00CE3107" w:rsidRPr="00CE3107" w:rsidRDefault="00CE3107" w:rsidP="00CE3107">
      <w:pPr>
        <w:spacing w:line="360" w:lineRule="auto"/>
        <w:ind w:firstLineChars="200" w:firstLine="480"/>
        <w:rPr>
          <w:sz w:val="24"/>
          <w:szCs w:val="20"/>
        </w:rPr>
      </w:pPr>
      <w:r w:rsidRPr="00CE3107">
        <w:rPr>
          <w:rFonts w:hint="eastAsia"/>
          <w:sz w:val="24"/>
          <w:szCs w:val="20"/>
        </w:rPr>
        <w:t>掌握闲置放射源底数，实现对放射源的动态管理。强化辐射安全事故应急工作。</w:t>
      </w:r>
    </w:p>
    <w:p w:rsidR="00CE3107" w:rsidRPr="00CE3107" w:rsidRDefault="00CE3107" w:rsidP="00CE3107">
      <w:pPr>
        <w:spacing w:line="360" w:lineRule="auto"/>
        <w:ind w:firstLineChars="200" w:firstLine="480"/>
        <w:rPr>
          <w:sz w:val="24"/>
          <w:szCs w:val="20"/>
        </w:rPr>
      </w:pPr>
      <w:r w:rsidRPr="00CE3107">
        <w:rPr>
          <w:rFonts w:hint="eastAsia"/>
          <w:sz w:val="24"/>
          <w:szCs w:val="20"/>
        </w:rPr>
        <w:t>完善辐射事故应急预案，建设和完善包括应急监测、应急决策、应急通讯、应急物资、交通工具、污染控制及处理在内的应急响应技术支持能力，加强辐射事故应急准备和演练，提高环境安全预警监测能力和突发事故处理水平。</w:t>
      </w:r>
    </w:p>
    <w:p w:rsidR="00CE3107" w:rsidRPr="00CE6FD8" w:rsidRDefault="00CE3107" w:rsidP="00CE6FD8">
      <w:pPr>
        <w:pStyle w:val="20"/>
        <w:numPr>
          <w:ilvl w:val="0"/>
          <w:numId w:val="21"/>
        </w:numPr>
        <w:rPr>
          <w:rFonts w:ascii="宋体" w:eastAsia="宋体" w:hAnsi="宋体"/>
        </w:rPr>
      </w:pPr>
      <w:r w:rsidRPr="00CE6FD8">
        <w:rPr>
          <w:rFonts w:ascii="宋体" w:eastAsia="宋体" w:hAnsi="宋体" w:hint="eastAsia"/>
        </w:rPr>
        <w:t>辐射环境安全宣传教育</w:t>
      </w:r>
    </w:p>
    <w:p w:rsidR="00CE3107" w:rsidRPr="00CE3107" w:rsidRDefault="00CE3107" w:rsidP="00CE3107">
      <w:pPr>
        <w:spacing w:line="360" w:lineRule="auto"/>
        <w:ind w:firstLineChars="200" w:firstLine="480"/>
        <w:rPr>
          <w:sz w:val="24"/>
          <w:szCs w:val="20"/>
        </w:rPr>
      </w:pPr>
      <w:r w:rsidRPr="00CE3107">
        <w:rPr>
          <w:rFonts w:hint="eastAsia"/>
          <w:sz w:val="24"/>
          <w:szCs w:val="20"/>
        </w:rPr>
        <w:t>提升公众辐射安全认知水平，加强辐射法律法规的宣传；结合广场宣传屏、路边广告牌等设置辐射科普知识宣传、输变电和移动通信基站电磁污染防护、辐射环境监测、辐射事故应急与应对处置等方面的宣传片或宣传栏。</w:t>
      </w:r>
    </w:p>
    <w:p w:rsidR="00CE3107" w:rsidRPr="00CE3107" w:rsidRDefault="00CE3107" w:rsidP="00CE3107">
      <w:pPr>
        <w:pStyle w:val="1"/>
        <w:numPr>
          <w:ilvl w:val="0"/>
          <w:numId w:val="7"/>
        </w:numPr>
        <w:rPr>
          <w:rFonts w:ascii="黑体" w:eastAsia="黑体" w:hAnsi="黑体"/>
          <w:color w:val="000000"/>
          <w:lang w:val="x-none" w:eastAsia="x-none"/>
          <w14:shadow w14:blurRad="50800" w14:dist="38100" w14:dir="2700000" w14:sx="100000" w14:sy="100000" w14:kx="0" w14:ky="0" w14:algn="tl">
            <w14:srgbClr w14:val="000000">
              <w14:alpha w14:val="60000"/>
            </w14:srgbClr>
          </w14:shadow>
        </w:rPr>
      </w:pPr>
      <w:r w:rsidRPr="00CE3107">
        <w:rPr>
          <w:rFonts w:ascii="黑体" w:eastAsia="黑体" w:hAnsi="黑体"/>
          <w:color w:val="000000"/>
          <w:lang w:val="x-none" w:eastAsia="x-none"/>
          <w14:shadow w14:blurRad="50800" w14:dist="38100" w14:dir="2700000" w14:sx="100000" w14:sy="100000" w14:kx="0" w14:ky="0" w14:algn="tl">
            <w14:srgbClr w14:val="000000">
              <w14:alpha w14:val="60000"/>
            </w14:srgbClr>
          </w14:shadow>
        </w:rPr>
        <w:br w:type="column"/>
      </w:r>
      <w:r w:rsidRPr="00CE3107">
        <w:rPr>
          <w:rFonts w:hint="eastAsia"/>
        </w:rPr>
        <w:lastRenderedPageBreak/>
        <w:t>土壤环境污染防治规划</w:t>
      </w:r>
    </w:p>
    <w:p w:rsidR="00CE3107" w:rsidRPr="00FA7DEC" w:rsidRDefault="00CE3107" w:rsidP="00FA7DEC">
      <w:pPr>
        <w:pStyle w:val="20"/>
        <w:numPr>
          <w:ilvl w:val="0"/>
          <w:numId w:val="11"/>
        </w:numPr>
        <w:rPr>
          <w:rFonts w:ascii="宋体" w:eastAsia="宋体" w:hAnsi="宋体"/>
        </w:rPr>
      </w:pPr>
      <w:r w:rsidRPr="00FA7DEC">
        <w:rPr>
          <w:rFonts w:ascii="宋体" w:eastAsia="宋体" w:hAnsi="宋体" w:hint="eastAsia"/>
        </w:rPr>
        <w:t>建立土壤污染监测体系</w:t>
      </w:r>
    </w:p>
    <w:p w:rsidR="00CE3107" w:rsidRPr="00CE3107" w:rsidRDefault="00CE3107" w:rsidP="00CE3107">
      <w:pPr>
        <w:spacing w:line="360" w:lineRule="auto"/>
        <w:ind w:firstLineChars="200" w:firstLine="480"/>
        <w:rPr>
          <w:sz w:val="24"/>
          <w:szCs w:val="20"/>
        </w:rPr>
      </w:pPr>
      <w:r w:rsidRPr="00CE3107">
        <w:rPr>
          <w:rFonts w:hint="eastAsia"/>
          <w:sz w:val="24"/>
          <w:szCs w:val="20"/>
        </w:rPr>
        <w:t>健全土壤监测技术体系，建设土壤环境质量监测网络，建立例行监测制度，开展土壤环境质量详查，提升土壤环境信息化管理水平。</w:t>
      </w:r>
    </w:p>
    <w:p w:rsidR="00CE3107" w:rsidRPr="00FA7DEC" w:rsidRDefault="00CE3107" w:rsidP="00FA7DEC">
      <w:pPr>
        <w:pStyle w:val="20"/>
        <w:numPr>
          <w:ilvl w:val="0"/>
          <w:numId w:val="11"/>
        </w:numPr>
        <w:rPr>
          <w:rFonts w:ascii="宋体" w:eastAsia="宋体" w:hAnsi="宋体"/>
        </w:rPr>
      </w:pPr>
      <w:r w:rsidRPr="00FA7DEC">
        <w:rPr>
          <w:rFonts w:ascii="宋体" w:eastAsia="宋体" w:hAnsi="宋体" w:hint="eastAsia"/>
        </w:rPr>
        <w:t>严控新增土壤污染</w:t>
      </w:r>
    </w:p>
    <w:p w:rsidR="00CE3107" w:rsidRPr="00CE3107" w:rsidRDefault="00CE3107" w:rsidP="00CE3107">
      <w:pPr>
        <w:spacing w:line="360" w:lineRule="auto"/>
        <w:ind w:firstLineChars="200" w:firstLine="480"/>
        <w:rPr>
          <w:sz w:val="24"/>
          <w:szCs w:val="20"/>
        </w:rPr>
      </w:pPr>
      <w:r w:rsidRPr="00CE3107">
        <w:rPr>
          <w:rFonts w:hint="eastAsia"/>
          <w:sz w:val="24"/>
          <w:szCs w:val="20"/>
        </w:rPr>
        <w:t>优化规划布局与管控。</w:t>
      </w:r>
      <w:r w:rsidRPr="00CE3107">
        <w:rPr>
          <w:sz w:val="24"/>
          <w:szCs w:val="20"/>
        </w:rPr>
        <w:t>加快</w:t>
      </w:r>
      <w:r w:rsidRPr="00CE3107">
        <w:rPr>
          <w:rFonts w:hint="eastAsia"/>
          <w:sz w:val="24"/>
          <w:szCs w:val="20"/>
        </w:rPr>
        <w:t>形成主体功能定位清晰的国土空间格局，强化空间用途管制，提高土地节约集约利用水平。加快推进重点行业统一规划、集聚发展，推动重点行业企业实现园区化、专业化管理。</w:t>
      </w:r>
    </w:p>
    <w:p w:rsidR="00CE3107" w:rsidRPr="00CE3107" w:rsidRDefault="00CE3107" w:rsidP="00CE3107">
      <w:pPr>
        <w:spacing w:line="360" w:lineRule="auto"/>
        <w:ind w:firstLineChars="200" w:firstLine="480"/>
        <w:rPr>
          <w:sz w:val="24"/>
          <w:szCs w:val="20"/>
        </w:rPr>
      </w:pPr>
      <w:r w:rsidRPr="00CE3107">
        <w:rPr>
          <w:rFonts w:hint="eastAsia"/>
          <w:sz w:val="24"/>
          <w:szCs w:val="20"/>
        </w:rPr>
        <w:t>严把环境准入关，防范建设项目新增污染。严控涉重金属行业新增产能，</w:t>
      </w:r>
      <w:r w:rsidRPr="00CE3107">
        <w:rPr>
          <w:sz w:val="24"/>
          <w:szCs w:val="20"/>
        </w:rPr>
        <w:t xml:space="preserve"> </w:t>
      </w:r>
      <w:r w:rsidRPr="00CE3107">
        <w:rPr>
          <w:rFonts w:hint="eastAsia"/>
          <w:sz w:val="24"/>
          <w:szCs w:val="20"/>
        </w:rPr>
        <w:t>对涉重金属行业新建、改建、扩建项目新增产能和新增重金属污染物排放量均实行等量或倍量置换替代。在规划和建设项目环境影响评价中，强化土壤环境调查，增加对土壤环境影响的评价内容，明确防范土壤污染的具体措施，需要建设的土壤污染防治设施，纳入环保“三同时”管理，防止新建项目对土壤环境造成新的污染。</w:t>
      </w:r>
    </w:p>
    <w:p w:rsidR="00CE3107" w:rsidRPr="00CE3107" w:rsidRDefault="00CE3107" w:rsidP="00CE3107">
      <w:pPr>
        <w:spacing w:line="360" w:lineRule="auto"/>
        <w:ind w:firstLineChars="200" w:firstLine="480"/>
        <w:rPr>
          <w:sz w:val="24"/>
          <w:szCs w:val="20"/>
        </w:rPr>
      </w:pPr>
      <w:r w:rsidRPr="00CE3107">
        <w:rPr>
          <w:rFonts w:hint="eastAsia"/>
          <w:sz w:val="24"/>
          <w:szCs w:val="20"/>
        </w:rPr>
        <w:t>加强未利用地环境管理。未利用地的开发应符合土地整治规划，经科学论证与评估，依法批准后方可进行，防止造成土壤污染。不符合土壤环境质量要求的地块，应划定为管控区域，并按照相关规定采取环境风险管控措施。</w:t>
      </w:r>
    </w:p>
    <w:p w:rsidR="00CE3107" w:rsidRPr="00FA7DEC" w:rsidRDefault="00CE3107" w:rsidP="00FA7DEC">
      <w:pPr>
        <w:pStyle w:val="20"/>
        <w:numPr>
          <w:ilvl w:val="0"/>
          <w:numId w:val="11"/>
        </w:numPr>
        <w:rPr>
          <w:rFonts w:ascii="宋体" w:eastAsia="宋体" w:hAnsi="宋体"/>
        </w:rPr>
      </w:pPr>
      <w:r w:rsidRPr="00FA7DEC">
        <w:rPr>
          <w:rFonts w:ascii="宋体" w:eastAsia="宋体" w:hAnsi="宋体" w:hint="eastAsia"/>
        </w:rPr>
        <w:t>实施农用地分类管理</w:t>
      </w:r>
    </w:p>
    <w:p w:rsidR="00CE3107" w:rsidRPr="00CE3107" w:rsidRDefault="00CE3107" w:rsidP="00CE3107">
      <w:pPr>
        <w:spacing w:line="360" w:lineRule="auto"/>
        <w:ind w:firstLineChars="200" w:firstLine="480"/>
        <w:rPr>
          <w:sz w:val="24"/>
          <w:szCs w:val="20"/>
        </w:rPr>
      </w:pPr>
      <w:r w:rsidRPr="00CE3107">
        <w:rPr>
          <w:rFonts w:hint="eastAsia"/>
          <w:sz w:val="24"/>
          <w:szCs w:val="20"/>
        </w:rPr>
        <w:t>科学划定农用地土壤环境质量类别，将农用地划分为优先保护类（未污染和轻微污染）、安全利用类（轻度和中度污染）、严格管控类（重度污染）三个类别，以耕地为重点，分别采取相应管理措施，保障农产品质量安全。加大未污染和轻微污染农用地的保护力度，保障轻度和中度污染农用地的安全利用，加强重度污染耕地风险管控和其他农用地土壤环境管理。</w:t>
      </w:r>
    </w:p>
    <w:p w:rsidR="00CE3107" w:rsidRPr="00FA7DEC" w:rsidRDefault="00CE3107" w:rsidP="00FA7DEC">
      <w:pPr>
        <w:pStyle w:val="20"/>
        <w:numPr>
          <w:ilvl w:val="0"/>
          <w:numId w:val="11"/>
        </w:numPr>
        <w:rPr>
          <w:rFonts w:ascii="宋体" w:eastAsia="宋体" w:hAnsi="宋体"/>
        </w:rPr>
      </w:pPr>
      <w:r w:rsidRPr="00FA7DEC">
        <w:rPr>
          <w:rFonts w:ascii="宋体" w:eastAsia="宋体" w:hAnsi="宋体" w:hint="eastAsia"/>
        </w:rPr>
        <w:lastRenderedPageBreak/>
        <w:t>强化建设用地管控</w:t>
      </w:r>
    </w:p>
    <w:p w:rsidR="00CE6FD8" w:rsidRDefault="00CE3107" w:rsidP="00CE6FD8">
      <w:pPr>
        <w:spacing w:line="360" w:lineRule="auto"/>
        <w:ind w:firstLineChars="200" w:firstLine="480"/>
        <w:rPr>
          <w:sz w:val="24"/>
          <w:szCs w:val="20"/>
        </w:rPr>
      </w:pPr>
      <w:r w:rsidRPr="00CE3107">
        <w:rPr>
          <w:rFonts w:hint="eastAsia"/>
          <w:sz w:val="24"/>
          <w:szCs w:val="20"/>
        </w:rPr>
        <w:t>严格用地审批管理，将建设用地土壤环境管理要求纳入城市规划和供地管理，土地开发利用必须符合土壤环境质量要求。开展建设用地调查评估，对已搬迁、关闭企业原址场地土壤污染状况进行排查，掌握其特征污染物、原排放方式、扩散途径以及敏感目标等，建立潜在污染地块的清单，并及时更新。分用途明确管理措施，结合土壤污染状况详查及建设用地土壤环境调查评估结果。</w:t>
      </w:r>
    </w:p>
    <w:p w:rsidR="00CE3107" w:rsidRPr="00FA7DEC" w:rsidRDefault="00CE3107" w:rsidP="00CE6FD8">
      <w:pPr>
        <w:pStyle w:val="20"/>
        <w:numPr>
          <w:ilvl w:val="0"/>
          <w:numId w:val="11"/>
        </w:numPr>
        <w:rPr>
          <w:rFonts w:ascii="宋体" w:eastAsia="宋体" w:hAnsi="宋体"/>
        </w:rPr>
      </w:pPr>
      <w:r w:rsidRPr="00FA7DEC">
        <w:rPr>
          <w:rFonts w:ascii="宋体" w:eastAsia="宋体" w:hAnsi="宋体" w:hint="eastAsia"/>
        </w:rPr>
        <w:t>开展污染治理与修复</w:t>
      </w:r>
    </w:p>
    <w:p w:rsidR="00CE3107" w:rsidRPr="00CE3107" w:rsidRDefault="00CE3107" w:rsidP="00CE3107">
      <w:pPr>
        <w:spacing w:line="360" w:lineRule="auto"/>
        <w:ind w:firstLine="420"/>
        <w:rPr>
          <w:sz w:val="24"/>
        </w:rPr>
      </w:pPr>
      <w:r w:rsidRPr="00CE3107">
        <w:rPr>
          <w:rFonts w:hint="eastAsia"/>
          <w:sz w:val="24"/>
        </w:rPr>
        <w:t>明确治理与修复主体，按照“谁污染，谁治理，谁损害，谁担责”原则，造成土壤污染的单位或个人要承担治理与修复的主体责任。</w:t>
      </w:r>
    </w:p>
    <w:p w:rsidR="00CE3107" w:rsidRPr="00CE3107" w:rsidRDefault="00CE3107" w:rsidP="00CE3107">
      <w:pPr>
        <w:spacing w:line="360" w:lineRule="auto"/>
        <w:ind w:firstLine="420"/>
        <w:rPr>
          <w:sz w:val="24"/>
        </w:rPr>
      </w:pPr>
      <w:r w:rsidRPr="00CE3107">
        <w:rPr>
          <w:rFonts w:hint="eastAsia"/>
          <w:sz w:val="24"/>
        </w:rPr>
        <w:t>制定治理与修复规划，组织编制完成《土壤污染治理与修复规划》，以解决影响农产品质量和人居环境安全的突出土壤污染问题为重点，明确土壤污染治理与修复工作的目标指标、重点任务、重点工程项目、责任单位和分年度实施计划，并报上一级环境保护部门备案。</w:t>
      </w:r>
    </w:p>
    <w:p w:rsidR="00CE3107" w:rsidRPr="00CE3107" w:rsidRDefault="00CE3107" w:rsidP="00CE3107">
      <w:pPr>
        <w:spacing w:line="360" w:lineRule="auto"/>
        <w:ind w:firstLine="420"/>
        <w:rPr>
          <w:sz w:val="24"/>
        </w:rPr>
      </w:pPr>
      <w:r w:rsidRPr="00CE3107">
        <w:rPr>
          <w:rFonts w:hint="eastAsia"/>
          <w:sz w:val="24"/>
        </w:rPr>
        <w:t>有序开展治理与修复工程，实施</w:t>
      </w:r>
      <w:r w:rsidRPr="00CE3107">
        <w:rPr>
          <w:sz w:val="24"/>
        </w:rPr>
        <w:t>耕地</w:t>
      </w:r>
      <w:r w:rsidRPr="00CE3107">
        <w:rPr>
          <w:rFonts w:hint="eastAsia"/>
          <w:sz w:val="24"/>
        </w:rPr>
        <w:t>土壤污染治理与修复和建设场地治理与修复，组织</w:t>
      </w:r>
      <w:r w:rsidRPr="00CE3107">
        <w:rPr>
          <w:sz w:val="24"/>
        </w:rPr>
        <w:t>开展试点修复示范，</w:t>
      </w:r>
      <w:r w:rsidRPr="00CE3107">
        <w:rPr>
          <w:rFonts w:hint="eastAsia"/>
          <w:sz w:val="24"/>
        </w:rPr>
        <w:t>有计划地推进治理与修复工程项目实施。</w:t>
      </w:r>
    </w:p>
    <w:p w:rsidR="00CE3107" w:rsidRPr="00CE3107" w:rsidRDefault="00CE3107" w:rsidP="00CE3107">
      <w:pPr>
        <w:spacing w:line="360" w:lineRule="auto"/>
        <w:ind w:firstLine="420"/>
        <w:rPr>
          <w:sz w:val="24"/>
        </w:rPr>
      </w:pPr>
      <w:r w:rsidRPr="00CE3107">
        <w:rPr>
          <w:rFonts w:hint="eastAsia"/>
          <w:sz w:val="24"/>
        </w:rPr>
        <w:t>强化治理与修复工程监管，定期评估治理与修复成效，完善污染地块修复工程环境监理和工程验收制度，落实修复工程业主单位与施工单位污染防治责任。</w:t>
      </w:r>
    </w:p>
    <w:p w:rsidR="00CE3107" w:rsidRPr="00CE3107" w:rsidRDefault="00CE3107" w:rsidP="00FA7DEC">
      <w:pPr>
        <w:pStyle w:val="1"/>
        <w:numPr>
          <w:ilvl w:val="0"/>
          <w:numId w:val="7"/>
        </w:numPr>
        <w:rPr>
          <w:rFonts w:ascii="黑体" w:eastAsia="黑体" w:hAnsi="黑体"/>
          <w:b w:val="0"/>
          <w:bCs w:val="0"/>
          <w:color w:val="000000"/>
          <w:lang w:val="x-none" w:eastAsia="x-none"/>
          <w14:shadow w14:blurRad="50800" w14:dist="38100" w14:dir="2700000" w14:sx="100000" w14:sy="100000" w14:kx="0" w14:ky="0" w14:algn="tl">
            <w14:srgbClr w14:val="000000">
              <w14:alpha w14:val="60000"/>
            </w14:srgbClr>
          </w14:shadow>
        </w:rPr>
      </w:pPr>
      <w:r w:rsidRPr="00CE3107">
        <w:rPr>
          <w:rFonts w:ascii="黑体" w:eastAsia="黑体" w:hAnsi="黑体"/>
          <w:b w:val="0"/>
          <w:bCs w:val="0"/>
          <w:color w:val="000000"/>
          <w:lang w:val="x-none" w:eastAsia="x-none"/>
          <w14:shadow w14:blurRad="50800" w14:dist="38100" w14:dir="2700000" w14:sx="100000" w14:sy="100000" w14:kx="0" w14:ky="0" w14:algn="tl">
            <w14:srgbClr w14:val="000000">
              <w14:alpha w14:val="60000"/>
            </w14:srgbClr>
          </w14:shadow>
        </w:rPr>
        <w:br w:type="column"/>
      </w:r>
      <w:r w:rsidRPr="00FA7DEC">
        <w:rPr>
          <w:rFonts w:hint="eastAsia"/>
        </w:rPr>
        <w:lastRenderedPageBreak/>
        <w:t>生态保护与建设规划</w:t>
      </w:r>
    </w:p>
    <w:p w:rsidR="00CE3107" w:rsidRPr="00FA7DEC" w:rsidRDefault="00CE3107" w:rsidP="00FA7DEC">
      <w:pPr>
        <w:pStyle w:val="20"/>
        <w:numPr>
          <w:ilvl w:val="0"/>
          <w:numId w:val="12"/>
        </w:numPr>
        <w:rPr>
          <w:rFonts w:ascii="宋体" w:eastAsia="宋体" w:hAnsi="宋体"/>
        </w:rPr>
      </w:pPr>
      <w:r w:rsidRPr="00FA7DEC">
        <w:rPr>
          <w:rFonts w:ascii="宋体" w:eastAsia="宋体" w:hAnsi="宋体" w:hint="eastAsia"/>
        </w:rPr>
        <w:t>森林生态系统的保护和培育</w:t>
      </w:r>
    </w:p>
    <w:p w:rsidR="00CE3107" w:rsidRPr="00CE3107" w:rsidRDefault="00CE3107" w:rsidP="00CE3107">
      <w:pPr>
        <w:spacing w:line="360" w:lineRule="auto"/>
        <w:ind w:firstLineChars="200" w:firstLine="480"/>
        <w:rPr>
          <w:sz w:val="24"/>
          <w:szCs w:val="20"/>
        </w:rPr>
      </w:pPr>
      <w:r w:rsidRPr="00CE3107">
        <w:rPr>
          <w:rFonts w:hint="eastAsia"/>
          <w:sz w:val="24"/>
          <w:szCs w:val="20"/>
        </w:rPr>
        <w:t>划定</w:t>
      </w:r>
      <w:r w:rsidRPr="00CE3107">
        <w:rPr>
          <w:sz w:val="24"/>
          <w:szCs w:val="20"/>
        </w:rPr>
        <w:t>都市</w:t>
      </w:r>
      <w:r w:rsidRPr="00CE3107">
        <w:rPr>
          <w:rFonts w:hint="eastAsia"/>
          <w:sz w:val="24"/>
          <w:szCs w:val="20"/>
        </w:rPr>
        <w:t>区内</w:t>
      </w:r>
      <w:r w:rsidRPr="00CE3107">
        <w:rPr>
          <w:sz w:val="24"/>
          <w:szCs w:val="20"/>
        </w:rPr>
        <w:t>林地保护等级，并严格执行相关保护措施，</w:t>
      </w:r>
      <w:r w:rsidRPr="00CE3107">
        <w:rPr>
          <w:rFonts w:hint="eastAsia"/>
          <w:sz w:val="24"/>
          <w:szCs w:val="20"/>
        </w:rPr>
        <w:t>重点开展都市区内交通廊道、村庄、城镇的造林绿化工程，加大集中连片、规模化治理力度，大力推进生态脆弱区和人口聚集区的绿化进程，着力构建以绿色植被为主体的国土生态安全体系。至</w:t>
      </w:r>
      <w:r w:rsidRPr="00CE3107">
        <w:rPr>
          <w:rFonts w:hint="eastAsia"/>
          <w:sz w:val="24"/>
          <w:szCs w:val="20"/>
        </w:rPr>
        <w:t>2020</w:t>
      </w:r>
      <w:r w:rsidRPr="00CE3107">
        <w:rPr>
          <w:rFonts w:hint="eastAsia"/>
          <w:sz w:val="24"/>
          <w:szCs w:val="20"/>
        </w:rPr>
        <w:t>年、</w:t>
      </w:r>
      <w:r w:rsidRPr="00CE3107">
        <w:rPr>
          <w:rFonts w:hint="eastAsia"/>
          <w:sz w:val="24"/>
          <w:szCs w:val="20"/>
        </w:rPr>
        <w:t>2030</w:t>
      </w:r>
      <w:r w:rsidRPr="00CE3107">
        <w:rPr>
          <w:rFonts w:hint="eastAsia"/>
          <w:sz w:val="24"/>
          <w:szCs w:val="20"/>
        </w:rPr>
        <w:t>年都市区森林覆盖率目标值分别设定为</w:t>
      </w:r>
      <w:r w:rsidRPr="00CE3107">
        <w:rPr>
          <w:sz w:val="24"/>
          <w:szCs w:val="20"/>
        </w:rPr>
        <w:t>30</w:t>
      </w:r>
      <w:r w:rsidRPr="00CE3107">
        <w:rPr>
          <w:rFonts w:hint="eastAsia"/>
          <w:sz w:val="24"/>
          <w:szCs w:val="20"/>
        </w:rPr>
        <w:t>%</w:t>
      </w:r>
      <w:r w:rsidRPr="00CE3107">
        <w:rPr>
          <w:rFonts w:hint="eastAsia"/>
          <w:sz w:val="24"/>
          <w:szCs w:val="20"/>
        </w:rPr>
        <w:t>、</w:t>
      </w:r>
      <w:r w:rsidRPr="00CE3107">
        <w:rPr>
          <w:rFonts w:hint="eastAsia"/>
          <w:sz w:val="24"/>
          <w:szCs w:val="20"/>
        </w:rPr>
        <w:t>3</w:t>
      </w:r>
      <w:r w:rsidRPr="00CE3107">
        <w:rPr>
          <w:sz w:val="24"/>
          <w:szCs w:val="20"/>
        </w:rPr>
        <w:t>5</w:t>
      </w:r>
      <w:r w:rsidRPr="00CE3107">
        <w:rPr>
          <w:rFonts w:hint="eastAsia"/>
          <w:sz w:val="24"/>
          <w:szCs w:val="20"/>
        </w:rPr>
        <w:t>%</w:t>
      </w:r>
      <w:r w:rsidRPr="00CE3107">
        <w:rPr>
          <w:rFonts w:hint="eastAsia"/>
          <w:sz w:val="24"/>
          <w:szCs w:val="20"/>
        </w:rPr>
        <w:t>。</w:t>
      </w:r>
    </w:p>
    <w:p w:rsidR="00CE3107" w:rsidRPr="00FA7DEC" w:rsidRDefault="00CE3107" w:rsidP="00FA7DEC">
      <w:pPr>
        <w:pStyle w:val="20"/>
        <w:numPr>
          <w:ilvl w:val="0"/>
          <w:numId w:val="12"/>
        </w:numPr>
        <w:rPr>
          <w:rFonts w:ascii="宋体" w:eastAsia="宋体" w:hAnsi="宋体"/>
        </w:rPr>
      </w:pPr>
      <w:r w:rsidRPr="00FA7DEC">
        <w:rPr>
          <w:rFonts w:ascii="宋体" w:eastAsia="宋体" w:hAnsi="宋体" w:hint="eastAsia"/>
        </w:rPr>
        <w:t>河湖水系生态系统的修复和保护</w:t>
      </w:r>
    </w:p>
    <w:p w:rsidR="00CE3107" w:rsidRPr="00CE3107" w:rsidRDefault="00CE3107" w:rsidP="00CE3107">
      <w:pPr>
        <w:spacing w:line="360" w:lineRule="auto"/>
        <w:ind w:firstLineChars="200" w:firstLine="480"/>
        <w:rPr>
          <w:sz w:val="24"/>
          <w:szCs w:val="20"/>
        </w:rPr>
      </w:pPr>
      <w:r w:rsidRPr="00CE3107">
        <w:rPr>
          <w:rFonts w:hint="eastAsia"/>
          <w:sz w:val="24"/>
          <w:szCs w:val="20"/>
        </w:rPr>
        <w:t>按照水环境功能区划的水质目标，加强清凉江、衡水湖等河湖的保护，重点开展对滏阳河、滏东排河等水质处于劣Ⅴ类河流的污染治理和生态修复，采用控源截污、除藻、调水、清淤、生态修复等保障措施。</w:t>
      </w:r>
      <w:r w:rsidRPr="00CE3107">
        <w:rPr>
          <w:rFonts w:hint="eastAsia"/>
          <w:sz w:val="24"/>
          <w:szCs w:val="20"/>
        </w:rPr>
        <w:t>2020</w:t>
      </w:r>
      <w:r w:rsidRPr="00CE3107">
        <w:rPr>
          <w:rFonts w:hint="eastAsia"/>
          <w:sz w:val="24"/>
          <w:szCs w:val="20"/>
        </w:rPr>
        <w:t>年、</w:t>
      </w:r>
      <w:r w:rsidRPr="00CE3107">
        <w:rPr>
          <w:rFonts w:hint="eastAsia"/>
          <w:sz w:val="24"/>
          <w:szCs w:val="20"/>
        </w:rPr>
        <w:t>2030</w:t>
      </w:r>
      <w:r w:rsidRPr="00CE3107">
        <w:rPr>
          <w:rFonts w:hint="eastAsia"/>
          <w:sz w:val="24"/>
          <w:szCs w:val="20"/>
        </w:rPr>
        <w:t>年都市区水环境功能区水质达标率分别设定为</w:t>
      </w:r>
      <w:r w:rsidRPr="00CE3107">
        <w:rPr>
          <w:rFonts w:hint="eastAsia"/>
          <w:sz w:val="24"/>
          <w:szCs w:val="20"/>
        </w:rPr>
        <w:t>75%</w:t>
      </w:r>
      <w:r w:rsidRPr="00CE3107">
        <w:rPr>
          <w:rFonts w:hint="eastAsia"/>
          <w:sz w:val="24"/>
          <w:szCs w:val="20"/>
        </w:rPr>
        <w:t>、</w:t>
      </w:r>
      <w:r w:rsidRPr="00CE3107">
        <w:rPr>
          <w:rFonts w:hint="eastAsia"/>
          <w:sz w:val="24"/>
          <w:szCs w:val="20"/>
        </w:rPr>
        <w:t>100%</w:t>
      </w:r>
      <w:r w:rsidRPr="00CE3107">
        <w:rPr>
          <w:rFonts w:hint="eastAsia"/>
          <w:sz w:val="24"/>
          <w:szCs w:val="20"/>
        </w:rPr>
        <w:t>。</w:t>
      </w:r>
    </w:p>
    <w:p w:rsidR="00CE3107" w:rsidRPr="00FA7DEC" w:rsidRDefault="00CE3107" w:rsidP="00FA7DEC">
      <w:pPr>
        <w:pStyle w:val="20"/>
        <w:numPr>
          <w:ilvl w:val="0"/>
          <w:numId w:val="12"/>
        </w:numPr>
        <w:rPr>
          <w:rFonts w:ascii="宋体" w:eastAsia="宋体" w:hAnsi="宋体"/>
        </w:rPr>
      </w:pPr>
      <w:r w:rsidRPr="00FA7DEC">
        <w:rPr>
          <w:rFonts w:ascii="宋体" w:eastAsia="宋体" w:hAnsi="宋体" w:hint="eastAsia"/>
        </w:rPr>
        <w:t>农田生态系统的保护和改良</w:t>
      </w:r>
    </w:p>
    <w:p w:rsidR="00CE3107" w:rsidRPr="00CE3107" w:rsidRDefault="00CE3107" w:rsidP="00CE3107">
      <w:pPr>
        <w:spacing w:line="360" w:lineRule="auto"/>
        <w:ind w:firstLineChars="200" w:firstLine="480"/>
        <w:rPr>
          <w:sz w:val="24"/>
          <w:szCs w:val="20"/>
        </w:rPr>
      </w:pPr>
      <w:r w:rsidRPr="00CE3107">
        <w:rPr>
          <w:rFonts w:hint="eastAsia"/>
          <w:sz w:val="24"/>
          <w:szCs w:val="20"/>
        </w:rPr>
        <w:t>严格执行基本农田保护制度，保障耕地规模稳定，提高耕地质量和农田生态功能，稳定并提高粮食产量。实施保护性耕作，推广免（少）耕播种、深松及病虫草害综合控制技术。强化农田生态保育，推广种植绿肥、秸秆还田、增施有机肥等措施，培肥地力。开展盐碱化、酸化土壤改良培肥，调查和修复污染土地，增强农田抗御风蚀和截土蓄水能力。</w:t>
      </w:r>
    </w:p>
    <w:p w:rsidR="00CE3107" w:rsidRPr="00FA7DEC" w:rsidRDefault="00CE3107" w:rsidP="00FA7DEC">
      <w:pPr>
        <w:pStyle w:val="20"/>
        <w:numPr>
          <w:ilvl w:val="0"/>
          <w:numId w:val="12"/>
        </w:numPr>
        <w:rPr>
          <w:rFonts w:ascii="宋体" w:eastAsia="宋体" w:hAnsi="宋体"/>
        </w:rPr>
      </w:pPr>
      <w:r w:rsidRPr="00FA7DEC">
        <w:rPr>
          <w:rFonts w:ascii="宋体" w:eastAsia="宋体" w:hAnsi="宋体" w:hint="eastAsia"/>
        </w:rPr>
        <w:t>城市生态系统的建设和改善</w:t>
      </w:r>
    </w:p>
    <w:p w:rsidR="00CE3107" w:rsidRPr="00CE3107" w:rsidRDefault="00CE3107" w:rsidP="00CE3107">
      <w:pPr>
        <w:spacing w:line="360" w:lineRule="auto"/>
        <w:ind w:firstLineChars="200" w:firstLine="480"/>
        <w:rPr>
          <w:sz w:val="24"/>
          <w:szCs w:val="20"/>
        </w:rPr>
      </w:pPr>
      <w:r w:rsidRPr="00CE3107">
        <w:rPr>
          <w:rFonts w:hint="eastAsia"/>
          <w:sz w:val="24"/>
          <w:szCs w:val="20"/>
        </w:rPr>
        <w:t>编制生态保护与建设规划，明确城市生态保护和建设的空间布局、各类生态空间的功能定位、发展目标和建设控制要求，以及具体的建设任务和实施计划。</w:t>
      </w:r>
    </w:p>
    <w:p w:rsidR="00CE3107" w:rsidRPr="00CE3107" w:rsidRDefault="00CE3107" w:rsidP="00CE3107">
      <w:pPr>
        <w:spacing w:line="360" w:lineRule="auto"/>
        <w:ind w:firstLineChars="200" w:firstLine="480"/>
        <w:rPr>
          <w:sz w:val="24"/>
          <w:szCs w:val="20"/>
        </w:rPr>
      </w:pPr>
      <w:r w:rsidRPr="00CE3107">
        <w:rPr>
          <w:rFonts w:hint="eastAsia"/>
          <w:sz w:val="24"/>
          <w:szCs w:val="20"/>
        </w:rPr>
        <w:t>在城市规划区范围内划定蓝线、绿线，建立生态空间信息平台和动态监管系统，落实相关生态管控的指标和具体要求。都市区各城市规划区内的山体、水域、</w:t>
      </w:r>
      <w:r w:rsidRPr="00CE3107">
        <w:rPr>
          <w:rFonts w:hint="eastAsia"/>
          <w:sz w:val="24"/>
          <w:szCs w:val="20"/>
        </w:rPr>
        <w:lastRenderedPageBreak/>
        <w:t>绿地、林地、湿地等生态空间占比不小于</w:t>
      </w:r>
      <w:r w:rsidRPr="00CE3107">
        <w:rPr>
          <w:rFonts w:hint="eastAsia"/>
          <w:sz w:val="24"/>
          <w:szCs w:val="20"/>
        </w:rPr>
        <w:t xml:space="preserve"> 60%</w:t>
      </w:r>
      <w:r w:rsidRPr="00CE3107">
        <w:rPr>
          <w:rFonts w:hint="eastAsia"/>
          <w:sz w:val="24"/>
          <w:szCs w:val="20"/>
        </w:rPr>
        <w:t>，建成区绿化覆盖率不低于</w:t>
      </w:r>
      <w:r w:rsidRPr="00CE3107">
        <w:rPr>
          <w:rFonts w:hint="eastAsia"/>
          <w:sz w:val="24"/>
          <w:szCs w:val="20"/>
        </w:rPr>
        <w:t>40%</w:t>
      </w:r>
      <w:r w:rsidRPr="00CE3107">
        <w:rPr>
          <w:rFonts w:hint="eastAsia"/>
          <w:sz w:val="24"/>
          <w:szCs w:val="20"/>
        </w:rPr>
        <w:t>，人均公园绿地面积达到</w:t>
      </w:r>
      <w:r w:rsidRPr="00CE3107">
        <w:rPr>
          <w:rFonts w:hint="eastAsia"/>
          <w:sz w:val="24"/>
          <w:szCs w:val="20"/>
        </w:rPr>
        <w:t>14</w:t>
      </w:r>
      <w:r w:rsidRPr="00CE3107">
        <w:rPr>
          <w:rFonts w:hint="eastAsia"/>
          <w:sz w:val="24"/>
          <w:szCs w:val="20"/>
        </w:rPr>
        <w:t>平方米，水体岸线自然化率不低于</w:t>
      </w:r>
      <w:r w:rsidRPr="00CE3107">
        <w:rPr>
          <w:rFonts w:hint="eastAsia"/>
          <w:sz w:val="24"/>
          <w:szCs w:val="20"/>
        </w:rPr>
        <w:t xml:space="preserve"> 80%</w:t>
      </w:r>
      <w:r w:rsidRPr="00CE3107">
        <w:rPr>
          <w:rFonts w:hint="eastAsia"/>
          <w:sz w:val="24"/>
          <w:szCs w:val="20"/>
        </w:rPr>
        <w:t>。</w:t>
      </w:r>
    </w:p>
    <w:p w:rsidR="00CE3107" w:rsidRPr="00CE3107" w:rsidRDefault="00CE3107" w:rsidP="00CE3107">
      <w:pPr>
        <w:spacing w:line="360" w:lineRule="auto"/>
        <w:ind w:firstLineChars="200" w:firstLine="480"/>
        <w:rPr>
          <w:sz w:val="24"/>
          <w:szCs w:val="20"/>
        </w:rPr>
      </w:pPr>
      <w:r w:rsidRPr="00CE3107">
        <w:rPr>
          <w:sz w:val="24"/>
          <w:szCs w:val="20"/>
        </w:rPr>
        <w:t>通过挖潜增绿、拆违建绿、开放附属绿地、建设林荫路和休闲绿道、拓展街头绿地等手段，构建分布合理、使用便捷的绿色开放空间体系。</w:t>
      </w:r>
    </w:p>
    <w:p w:rsidR="00CE3107" w:rsidRPr="00CE3107" w:rsidRDefault="00CE3107" w:rsidP="00CE3107">
      <w:pPr>
        <w:spacing w:line="360" w:lineRule="auto"/>
        <w:ind w:firstLineChars="200" w:firstLine="480"/>
        <w:rPr>
          <w:sz w:val="24"/>
          <w:szCs w:val="20"/>
        </w:rPr>
      </w:pPr>
      <w:r w:rsidRPr="00CE3107">
        <w:rPr>
          <w:sz w:val="24"/>
          <w:szCs w:val="20"/>
        </w:rPr>
        <w:t>完善城郊绿地和城市通风廊道的规划预留和绿化建设，提升绿地引风供氧能力；在城市人口密集区域布局大型绿地</w:t>
      </w:r>
      <w:r w:rsidR="00F42D95">
        <w:rPr>
          <w:rFonts w:hint="eastAsia"/>
          <w:sz w:val="24"/>
          <w:szCs w:val="20"/>
        </w:rPr>
        <w:t>板块</w:t>
      </w:r>
      <w:r w:rsidRPr="00CE3107">
        <w:rPr>
          <w:sz w:val="24"/>
          <w:szCs w:val="20"/>
        </w:rPr>
        <w:t>和通风廊道。</w:t>
      </w:r>
    </w:p>
    <w:p w:rsidR="00CE3107" w:rsidRPr="00CE3107" w:rsidRDefault="00CE3107" w:rsidP="00CE3107">
      <w:pPr>
        <w:spacing w:line="360" w:lineRule="auto"/>
        <w:ind w:firstLineChars="200" w:firstLine="480"/>
        <w:rPr>
          <w:sz w:val="24"/>
          <w:szCs w:val="20"/>
        </w:rPr>
      </w:pPr>
      <w:r w:rsidRPr="00CE3107">
        <w:rPr>
          <w:sz w:val="24"/>
          <w:szCs w:val="20"/>
        </w:rPr>
        <w:t>依托道路、水系建设生态林带；推广近自然绿地建设改造；推广道路绿化复层种植，增加乔木比例；建设城郊防护绿带。</w:t>
      </w:r>
    </w:p>
    <w:p w:rsidR="00CE3107" w:rsidRPr="00CE3107" w:rsidRDefault="00CE3107" w:rsidP="00CE3107">
      <w:pPr>
        <w:spacing w:line="360" w:lineRule="auto"/>
        <w:ind w:firstLineChars="200" w:firstLine="480"/>
        <w:rPr>
          <w:sz w:val="24"/>
          <w:szCs w:val="20"/>
        </w:rPr>
      </w:pPr>
      <w:r w:rsidRPr="00CE3107">
        <w:rPr>
          <w:sz w:val="24"/>
          <w:szCs w:val="20"/>
        </w:rPr>
        <w:t>开展河湖湿地修复，改造硬化河道、构建多自然性河流，恢复滩涂湿地生态功能。</w:t>
      </w:r>
    </w:p>
    <w:p w:rsidR="00CE3107" w:rsidRPr="00CE3107" w:rsidRDefault="00CE3107" w:rsidP="00FA7DEC">
      <w:pPr>
        <w:pStyle w:val="1"/>
        <w:numPr>
          <w:ilvl w:val="0"/>
          <w:numId w:val="7"/>
        </w:numPr>
        <w:rPr>
          <w:rFonts w:ascii="黑体" w:eastAsia="黑体" w:hAnsi="黑体"/>
          <w:b w:val="0"/>
          <w:bCs w:val="0"/>
          <w:color w:val="000000"/>
          <w:lang w:val="x-none" w:eastAsia="x-none"/>
          <w14:shadow w14:blurRad="50800" w14:dist="38100" w14:dir="2700000" w14:sx="100000" w14:sy="100000" w14:kx="0" w14:ky="0" w14:algn="tl">
            <w14:srgbClr w14:val="000000">
              <w14:alpha w14:val="60000"/>
            </w14:srgbClr>
          </w14:shadow>
        </w:rPr>
      </w:pPr>
      <w:r w:rsidRPr="00CE3107">
        <w:rPr>
          <w:rFonts w:ascii="黑体" w:eastAsia="黑体" w:hAnsi="黑体"/>
          <w:b w:val="0"/>
          <w:bCs w:val="0"/>
          <w:color w:val="000000"/>
          <w:lang w:val="x-none" w:eastAsia="x-none"/>
          <w14:shadow w14:blurRad="50800" w14:dist="38100" w14:dir="2700000" w14:sx="100000" w14:sy="100000" w14:kx="0" w14:ky="0" w14:algn="tl">
            <w14:srgbClr w14:val="000000">
              <w14:alpha w14:val="60000"/>
            </w14:srgbClr>
          </w14:shadow>
        </w:rPr>
        <w:br w:type="column"/>
      </w:r>
      <w:r w:rsidRPr="00FA7DEC">
        <w:rPr>
          <w:rFonts w:hint="eastAsia"/>
        </w:rPr>
        <w:lastRenderedPageBreak/>
        <w:t>环境基础设施与监管</w:t>
      </w:r>
      <w:r w:rsidRPr="00FA7DEC">
        <w:t>能力建设</w:t>
      </w:r>
    </w:p>
    <w:p w:rsidR="00CE3107" w:rsidRPr="00FA7DEC" w:rsidRDefault="00CE3107" w:rsidP="00FA7DEC">
      <w:pPr>
        <w:pStyle w:val="20"/>
        <w:numPr>
          <w:ilvl w:val="0"/>
          <w:numId w:val="13"/>
        </w:numPr>
        <w:rPr>
          <w:rFonts w:ascii="宋体" w:eastAsia="宋体" w:hAnsi="宋体"/>
        </w:rPr>
      </w:pPr>
      <w:r w:rsidRPr="00FA7DEC">
        <w:rPr>
          <w:rFonts w:ascii="宋体" w:eastAsia="宋体" w:hAnsi="宋体" w:hint="eastAsia"/>
        </w:rPr>
        <w:t>污水处理设施建设</w:t>
      </w:r>
    </w:p>
    <w:p w:rsidR="00CE3107" w:rsidRPr="00CE3107" w:rsidRDefault="00CE3107" w:rsidP="00CE3107">
      <w:pPr>
        <w:spacing w:line="360" w:lineRule="auto"/>
        <w:ind w:firstLineChars="200" w:firstLine="480"/>
        <w:rPr>
          <w:sz w:val="24"/>
          <w:szCs w:val="20"/>
        </w:rPr>
      </w:pPr>
      <w:r w:rsidRPr="00CE3107">
        <w:rPr>
          <w:rFonts w:hint="eastAsia"/>
          <w:sz w:val="24"/>
          <w:szCs w:val="20"/>
        </w:rPr>
        <w:t>都市区内城市周边村镇的污水纳入城市污水收集管网，各乡镇驻地均建设污水厂，相连驻地可统筹考虑；居住分散、收集条件不利的村庄采用分散处理方式，可采用一体化埋地设备、人工湿地等设备设施处理。</w:t>
      </w:r>
    </w:p>
    <w:p w:rsidR="00CE3107" w:rsidRPr="00FA7DEC" w:rsidRDefault="00CE3107" w:rsidP="00FA7DEC">
      <w:pPr>
        <w:pStyle w:val="20"/>
        <w:numPr>
          <w:ilvl w:val="0"/>
          <w:numId w:val="13"/>
        </w:numPr>
        <w:rPr>
          <w:rFonts w:ascii="宋体" w:eastAsia="宋体" w:hAnsi="宋体"/>
        </w:rPr>
      </w:pPr>
      <w:r w:rsidRPr="00FA7DEC">
        <w:rPr>
          <w:rFonts w:ascii="宋体" w:eastAsia="宋体" w:hAnsi="宋体" w:hint="eastAsia"/>
        </w:rPr>
        <w:t>固废处理设施建设</w:t>
      </w:r>
    </w:p>
    <w:p w:rsidR="00CE3107" w:rsidRPr="00CE6FD8" w:rsidRDefault="00CE3107" w:rsidP="00CE6FD8">
      <w:pPr>
        <w:spacing w:line="360" w:lineRule="auto"/>
        <w:ind w:firstLineChars="200" w:firstLine="480"/>
        <w:rPr>
          <w:sz w:val="24"/>
          <w:szCs w:val="20"/>
        </w:rPr>
      </w:pPr>
      <w:r w:rsidRPr="00CE3107">
        <w:rPr>
          <w:rFonts w:hint="eastAsia"/>
          <w:sz w:val="24"/>
          <w:szCs w:val="20"/>
        </w:rPr>
        <w:t>规划都市区域</w:t>
      </w:r>
      <w:r w:rsidRPr="00CE3107">
        <w:rPr>
          <w:sz w:val="24"/>
          <w:szCs w:val="20"/>
        </w:rPr>
        <w:t>内共建设</w:t>
      </w:r>
      <w:r w:rsidRPr="00CE3107">
        <w:rPr>
          <w:rFonts w:hint="eastAsia"/>
          <w:sz w:val="24"/>
          <w:szCs w:val="20"/>
        </w:rPr>
        <w:t>6</w:t>
      </w:r>
      <w:r w:rsidRPr="00CE3107">
        <w:rPr>
          <w:rFonts w:hint="eastAsia"/>
          <w:sz w:val="24"/>
          <w:szCs w:val="20"/>
        </w:rPr>
        <w:t>座</w:t>
      </w:r>
      <w:r w:rsidRPr="00CE3107">
        <w:rPr>
          <w:sz w:val="24"/>
          <w:szCs w:val="20"/>
        </w:rPr>
        <w:t>生活垃圾处置场</w:t>
      </w:r>
      <w:r w:rsidRPr="00CE3107">
        <w:rPr>
          <w:rFonts w:hint="eastAsia"/>
          <w:sz w:val="24"/>
          <w:szCs w:val="20"/>
        </w:rPr>
        <w:t>，</w:t>
      </w:r>
      <w:r w:rsidRPr="00CE3107">
        <w:rPr>
          <w:sz w:val="24"/>
          <w:szCs w:val="20"/>
        </w:rPr>
        <w:t>保留当</w:t>
      </w:r>
      <w:r w:rsidRPr="00CE3107">
        <w:rPr>
          <w:rFonts w:hint="eastAsia"/>
          <w:sz w:val="24"/>
          <w:szCs w:val="20"/>
        </w:rPr>
        <w:t>前衡水市生活垃圾综合处理厂、枣强县生活垃圾处理场、冀州区生活垃圾填埋场。</w:t>
      </w:r>
    </w:p>
    <w:p w:rsidR="00CE3107" w:rsidRPr="00FA7DEC" w:rsidRDefault="00CE3107" w:rsidP="00FA7DEC">
      <w:pPr>
        <w:pStyle w:val="20"/>
        <w:numPr>
          <w:ilvl w:val="0"/>
          <w:numId w:val="13"/>
        </w:numPr>
        <w:rPr>
          <w:rFonts w:ascii="宋体" w:eastAsia="宋体" w:hAnsi="宋体"/>
        </w:rPr>
      </w:pPr>
      <w:r w:rsidRPr="00FA7DEC">
        <w:rPr>
          <w:rFonts w:ascii="宋体" w:eastAsia="宋体" w:hAnsi="宋体" w:hint="eastAsia"/>
        </w:rPr>
        <w:t>环境监测设施建设</w:t>
      </w:r>
    </w:p>
    <w:p w:rsidR="00CE3107" w:rsidRPr="00CE3107" w:rsidRDefault="00CE3107" w:rsidP="00CE3107">
      <w:pPr>
        <w:spacing w:line="360" w:lineRule="auto"/>
        <w:ind w:firstLineChars="200" w:firstLine="480"/>
        <w:rPr>
          <w:sz w:val="24"/>
          <w:szCs w:val="20"/>
        </w:rPr>
      </w:pPr>
      <w:r w:rsidRPr="00CE3107">
        <w:rPr>
          <w:rFonts w:hint="eastAsia"/>
          <w:sz w:val="24"/>
          <w:szCs w:val="20"/>
        </w:rPr>
        <w:t>完善环境</w:t>
      </w:r>
      <w:r w:rsidRPr="00CE3107">
        <w:rPr>
          <w:sz w:val="24"/>
          <w:szCs w:val="20"/>
        </w:rPr>
        <w:t>质量</w:t>
      </w:r>
      <w:r w:rsidRPr="00CE3107">
        <w:rPr>
          <w:rFonts w:hint="eastAsia"/>
          <w:sz w:val="24"/>
          <w:szCs w:val="20"/>
        </w:rPr>
        <w:t>监测</w:t>
      </w:r>
      <w:r w:rsidRPr="00CE3107">
        <w:rPr>
          <w:sz w:val="24"/>
          <w:szCs w:val="20"/>
        </w:rPr>
        <w:t>网络，建设涵盖大气、水、土壤、噪声、辐射、水资源、水土流失、耕地等环境要素，布局合理、功能完善的环境质量监测网络，优化监测布点和功能，按照统一标准规范开展监测和评价，客观、准确、及时反映环境质量状况。</w:t>
      </w:r>
    </w:p>
    <w:p w:rsidR="00CE3107" w:rsidRPr="00CE3107" w:rsidRDefault="00CE3107" w:rsidP="00CE3107">
      <w:pPr>
        <w:spacing w:line="360" w:lineRule="auto"/>
        <w:ind w:firstLineChars="200" w:firstLine="480"/>
        <w:rPr>
          <w:sz w:val="24"/>
          <w:szCs w:val="20"/>
        </w:rPr>
      </w:pPr>
      <w:r w:rsidRPr="00CE3107">
        <w:rPr>
          <w:rFonts w:hint="eastAsia"/>
          <w:sz w:val="24"/>
          <w:szCs w:val="20"/>
        </w:rPr>
        <w:t>完善生态环境监测预警体系。</w:t>
      </w:r>
      <w:r w:rsidRPr="00CE3107">
        <w:rPr>
          <w:sz w:val="24"/>
          <w:szCs w:val="20"/>
        </w:rPr>
        <w:t>开展生态状况监测、调查与评估，强化天地一体化的生态遥感监测系统应用，加强地面生态监测和卫星、无人机遥感监测。积极推进野外生态监测站、生态保护红线监管平台等建设。加强对自然保护区、湖泊湿地、生物多样性保护优先区、国家地质公园等监测、调查与评估。</w:t>
      </w:r>
    </w:p>
    <w:p w:rsidR="00CE3107" w:rsidRPr="00CE3107" w:rsidRDefault="00CE3107" w:rsidP="00CE3107">
      <w:pPr>
        <w:spacing w:line="360" w:lineRule="auto"/>
        <w:ind w:firstLineChars="200" w:firstLine="480"/>
        <w:rPr>
          <w:sz w:val="24"/>
          <w:szCs w:val="20"/>
        </w:rPr>
      </w:pPr>
      <w:r w:rsidRPr="00CE3107">
        <w:rPr>
          <w:sz w:val="24"/>
          <w:szCs w:val="20"/>
        </w:rPr>
        <w:t>健全重点污染源监测网络。国家和省、市重点监控排污单位</w:t>
      </w:r>
      <w:r w:rsidRPr="00CE3107">
        <w:rPr>
          <w:rFonts w:hint="eastAsia"/>
          <w:sz w:val="24"/>
          <w:szCs w:val="20"/>
        </w:rPr>
        <w:t>建</w:t>
      </w:r>
      <w:r w:rsidRPr="00CE3107">
        <w:rPr>
          <w:sz w:val="24"/>
          <w:szCs w:val="20"/>
        </w:rPr>
        <w:t>设稳定运行的污染物排放在线监测系统，省级工业园区建设特征污染物监测系统，实现与全省污染源监测平台联网。依法开展重点监控排污单位的监督性监测，逐步组织开展面源、移动源等监测与统计工作。</w:t>
      </w:r>
    </w:p>
    <w:p w:rsidR="00CE3107" w:rsidRPr="00FA7DEC" w:rsidRDefault="00CE3107" w:rsidP="00FA7DEC">
      <w:pPr>
        <w:pStyle w:val="20"/>
        <w:numPr>
          <w:ilvl w:val="0"/>
          <w:numId w:val="13"/>
        </w:numPr>
        <w:rPr>
          <w:rFonts w:ascii="宋体" w:eastAsia="宋体" w:hAnsi="宋体"/>
        </w:rPr>
      </w:pPr>
      <w:r w:rsidRPr="00FA7DEC">
        <w:rPr>
          <w:rFonts w:ascii="宋体" w:eastAsia="宋体" w:hAnsi="宋体" w:hint="eastAsia"/>
        </w:rPr>
        <w:t>环境管理能力建设</w:t>
      </w:r>
    </w:p>
    <w:p w:rsidR="00CE3107" w:rsidRPr="00CE3107" w:rsidRDefault="00CE3107" w:rsidP="00CE3107">
      <w:pPr>
        <w:spacing w:line="360" w:lineRule="auto"/>
        <w:ind w:firstLineChars="200" w:firstLine="480"/>
        <w:rPr>
          <w:sz w:val="24"/>
          <w:szCs w:val="20"/>
        </w:rPr>
      </w:pPr>
      <w:r w:rsidRPr="00CE3107">
        <w:rPr>
          <w:rFonts w:hint="eastAsia"/>
          <w:sz w:val="24"/>
          <w:szCs w:val="20"/>
        </w:rPr>
        <w:t>建设“网格化管理”机制，将环境保护工作纳入市、区、镇（街）、村（居）</w:t>
      </w:r>
      <w:r w:rsidRPr="00CE3107">
        <w:rPr>
          <w:rFonts w:hint="eastAsia"/>
          <w:sz w:val="24"/>
          <w:szCs w:val="20"/>
        </w:rPr>
        <w:lastRenderedPageBreak/>
        <w:t>网格化管理平台，并将环境质量改善与网格化管理相结合，构建责任明确的考核体系，使各项措施落实到具体执行者。</w:t>
      </w:r>
    </w:p>
    <w:p w:rsidR="00CE3107" w:rsidRPr="00CE3107" w:rsidRDefault="00CE3107" w:rsidP="00CE3107">
      <w:pPr>
        <w:spacing w:line="360" w:lineRule="auto"/>
        <w:ind w:firstLineChars="200" w:firstLine="480"/>
        <w:rPr>
          <w:sz w:val="24"/>
          <w:szCs w:val="20"/>
        </w:rPr>
      </w:pPr>
      <w:r w:rsidRPr="00CE3107">
        <w:rPr>
          <w:rFonts w:hint="eastAsia"/>
          <w:sz w:val="24"/>
          <w:szCs w:val="20"/>
        </w:rPr>
        <w:t>智慧环保建设，利用云计算、大数据、物联网、移动互联网、遥感遥测等新一代信息技术，以感知为先、传输为基、计算为要、管理为本，构建环境与社会全向互联的智慧型环保感知网络，建立以水环境、大气环境、噪声环境、土壤环境为核心的多种环境监测和管理系统。</w:t>
      </w:r>
    </w:p>
    <w:p w:rsidR="00CE3107" w:rsidRPr="00CE3107" w:rsidRDefault="00CE3107" w:rsidP="00CE3107">
      <w:pPr>
        <w:spacing w:line="360" w:lineRule="auto"/>
        <w:ind w:firstLineChars="200" w:firstLine="480"/>
        <w:rPr>
          <w:sz w:val="24"/>
          <w:szCs w:val="20"/>
        </w:rPr>
      </w:pPr>
      <w:r w:rsidRPr="00CE3107">
        <w:rPr>
          <w:rFonts w:hint="eastAsia"/>
          <w:sz w:val="24"/>
          <w:szCs w:val="20"/>
        </w:rPr>
        <w:t>环境监察执法能力建设，环境监察执法工作要建立“监管区域、监管对象、监管过程、监管责任”全覆盖的长效机制，消灭监管盲区、盲点，扭转监管质量不高的局面。贯彻“两高”司法解释，加强与公安部门执法衔接配合，杜绝有案不移、以罚代刑，形成环境法制的威慑力量。</w:t>
      </w:r>
    </w:p>
    <w:p w:rsidR="00CE3107" w:rsidRPr="00FA7DEC" w:rsidRDefault="00CE3107" w:rsidP="00FA7DEC">
      <w:pPr>
        <w:pStyle w:val="20"/>
        <w:numPr>
          <w:ilvl w:val="0"/>
          <w:numId w:val="13"/>
        </w:numPr>
        <w:rPr>
          <w:rFonts w:ascii="宋体" w:eastAsia="宋体" w:hAnsi="宋体"/>
        </w:rPr>
      </w:pPr>
      <w:r w:rsidRPr="00FA7DEC">
        <w:rPr>
          <w:rFonts w:ascii="宋体" w:eastAsia="宋体" w:hAnsi="宋体" w:hint="eastAsia"/>
        </w:rPr>
        <w:t>环境宣传教育能力建设</w:t>
      </w:r>
    </w:p>
    <w:p w:rsidR="00CE3107" w:rsidRPr="00CE3107" w:rsidRDefault="00CE3107" w:rsidP="00CE3107">
      <w:pPr>
        <w:spacing w:line="360" w:lineRule="auto"/>
        <w:ind w:firstLineChars="200" w:firstLine="480"/>
        <w:rPr>
          <w:sz w:val="24"/>
          <w:szCs w:val="20"/>
        </w:rPr>
      </w:pPr>
      <w:r w:rsidRPr="00CE3107">
        <w:rPr>
          <w:rFonts w:hint="eastAsia"/>
          <w:sz w:val="24"/>
          <w:szCs w:val="20"/>
        </w:rPr>
        <w:t>制定环境信息公开管理办法，依法完善和落实环境质量、污染物减排进展情况、企业环境信息、环境政策、环境规划、项目建设的环境影响评价、重大环境决策、重大环境污染事件公告等新闻发布和重大环境信息披露制度。</w:t>
      </w:r>
    </w:p>
    <w:p w:rsidR="00CE3107" w:rsidRPr="00CE3107" w:rsidRDefault="00CE3107" w:rsidP="00CE3107">
      <w:pPr>
        <w:spacing w:line="360" w:lineRule="auto"/>
        <w:ind w:firstLineChars="200" w:firstLine="480"/>
        <w:rPr>
          <w:sz w:val="24"/>
          <w:szCs w:val="20"/>
        </w:rPr>
      </w:pPr>
      <w:r w:rsidRPr="00CE3107">
        <w:rPr>
          <w:rFonts w:hint="eastAsia"/>
          <w:sz w:val="24"/>
          <w:szCs w:val="20"/>
        </w:rPr>
        <w:t>建立环境公共服务供求决策公众参与机制，搭建政府、企业、公众、社会组织定期沟通、平等对话的交流平台。鼓励成立公益性的环保社团和组织，加强社会监督。</w:t>
      </w:r>
    </w:p>
    <w:p w:rsidR="00CE3107" w:rsidRPr="00CE3107" w:rsidRDefault="00CE3107" w:rsidP="00CE3107">
      <w:pPr>
        <w:spacing w:line="360" w:lineRule="auto"/>
        <w:ind w:firstLineChars="200" w:firstLine="480"/>
        <w:rPr>
          <w:sz w:val="24"/>
          <w:szCs w:val="20"/>
        </w:rPr>
      </w:pPr>
      <w:r w:rsidRPr="00CE3107">
        <w:rPr>
          <w:rFonts w:hint="eastAsia"/>
          <w:sz w:val="24"/>
          <w:szCs w:val="20"/>
        </w:rPr>
        <w:t>开展环保政策法规及公众环保科普知识的宣传和教育。与教育部门联合开展学校环保教育工作，继续推进环境教育立法；与民政有关部门共同开展社区民众环保活动；组织开展生态环境保护、污染防治技术等知识教育培训；充分利用各种媒体传播平台，推进“网上环保”公众参与环境保护平台建设，提高公众环境意识。</w:t>
      </w:r>
    </w:p>
    <w:p w:rsidR="00CE3107" w:rsidRPr="00FA7DEC" w:rsidRDefault="00CE3107" w:rsidP="00FA7DEC">
      <w:pPr>
        <w:pStyle w:val="20"/>
        <w:numPr>
          <w:ilvl w:val="0"/>
          <w:numId w:val="13"/>
        </w:numPr>
        <w:rPr>
          <w:rFonts w:ascii="宋体" w:eastAsia="宋体" w:hAnsi="宋体"/>
        </w:rPr>
      </w:pPr>
      <w:r w:rsidRPr="00FA7DEC">
        <w:rPr>
          <w:rFonts w:ascii="宋体" w:eastAsia="宋体" w:hAnsi="宋体" w:hint="eastAsia"/>
        </w:rPr>
        <w:t>环境应急能力建设</w:t>
      </w:r>
    </w:p>
    <w:p w:rsidR="00CE3107" w:rsidRPr="00CE3107" w:rsidRDefault="00CE3107" w:rsidP="00CE3107">
      <w:pPr>
        <w:spacing w:line="360" w:lineRule="auto"/>
        <w:ind w:firstLineChars="200" w:firstLine="480"/>
        <w:rPr>
          <w:sz w:val="24"/>
          <w:szCs w:val="20"/>
        </w:rPr>
      </w:pPr>
      <w:r w:rsidRPr="00CE3107">
        <w:rPr>
          <w:rFonts w:hint="eastAsia"/>
          <w:sz w:val="24"/>
          <w:szCs w:val="20"/>
        </w:rPr>
        <w:t>推进各级环境应急能力标准化建设，衡水市区执行《全国环保部门环境应急能力建设标准》中一级地市级建设标准，冀州、枣强、武邑执行一级县级建设标准。</w:t>
      </w:r>
      <w:r w:rsidRPr="00CE3107">
        <w:rPr>
          <w:sz w:val="24"/>
          <w:szCs w:val="20"/>
        </w:rPr>
        <w:t xml:space="preserve"> </w:t>
      </w:r>
    </w:p>
    <w:p w:rsidR="00CE6FD8" w:rsidRPr="00CE6FD8" w:rsidRDefault="00CE3107" w:rsidP="00CE6FD8">
      <w:pPr>
        <w:spacing w:line="360" w:lineRule="auto"/>
        <w:ind w:firstLineChars="200" w:firstLine="480"/>
        <w:rPr>
          <w:sz w:val="24"/>
          <w:szCs w:val="20"/>
        </w:rPr>
      </w:pPr>
      <w:r w:rsidRPr="00CE3107">
        <w:rPr>
          <w:rFonts w:hint="eastAsia"/>
          <w:sz w:val="24"/>
          <w:szCs w:val="20"/>
        </w:rPr>
        <w:t>督促重点企业、工业区编制环境应急预案，建立常态化训练与管理机制；结</w:t>
      </w:r>
      <w:r w:rsidRPr="00CE3107">
        <w:rPr>
          <w:rFonts w:hint="eastAsia"/>
          <w:sz w:val="24"/>
          <w:szCs w:val="20"/>
        </w:rPr>
        <w:lastRenderedPageBreak/>
        <w:t>合风险源分布情况，借助企事业单位有重点地建设市级环境应急物资储备库。完善环境应急管理机制，建立健全突发环境事件应急预案演练和评估制度；鼓励社会资源参与有偿应急服务；健全环保部门与其他相关部门间的环境应急联动机制，使政府相关部门互通信息、共享资源、交流经验、优势互补，提高突发环境事件防范和处置能力。</w:t>
      </w:r>
      <w:bookmarkStart w:id="27" w:name="_Toc433645483"/>
      <w:bookmarkStart w:id="28" w:name="_Toc479778263"/>
      <w:bookmarkStart w:id="29" w:name="_Toc491719780"/>
      <w:bookmarkStart w:id="30" w:name="_Toc513638729"/>
      <w:bookmarkEnd w:id="24"/>
      <w:bookmarkEnd w:id="25"/>
      <w:bookmarkEnd w:id="26"/>
    </w:p>
    <w:p w:rsidR="001C6291" w:rsidRPr="001C6291" w:rsidRDefault="001C6291" w:rsidP="00FA7DEC">
      <w:pPr>
        <w:pStyle w:val="1"/>
        <w:numPr>
          <w:ilvl w:val="0"/>
          <w:numId w:val="7"/>
        </w:numPr>
        <w:rPr>
          <w:rFonts w:ascii="黑体" w:eastAsia="黑体" w:hAnsi="黑体"/>
          <w:b w:val="0"/>
          <w:bCs w:val="0"/>
          <w:color w:val="000000"/>
          <w:lang w:val="x-none" w:eastAsia="x-none"/>
          <w14:shadow w14:blurRad="50800" w14:dist="38100" w14:dir="2700000" w14:sx="100000" w14:sy="100000" w14:kx="0" w14:ky="0" w14:algn="tl">
            <w14:srgbClr w14:val="000000">
              <w14:alpha w14:val="60000"/>
            </w14:srgbClr>
          </w14:shadow>
        </w:rPr>
      </w:pPr>
      <w:r w:rsidRPr="00FA7DEC">
        <w:rPr>
          <w:rFonts w:hint="eastAsia"/>
        </w:rPr>
        <w:t>衡水湖环境综合治理与生态修复规划</w:t>
      </w:r>
      <w:bookmarkEnd w:id="27"/>
      <w:bookmarkEnd w:id="28"/>
      <w:bookmarkEnd w:id="29"/>
      <w:bookmarkEnd w:id="30"/>
    </w:p>
    <w:p w:rsidR="001C6291" w:rsidRPr="00CE6FD8" w:rsidRDefault="001C6291" w:rsidP="00CE6FD8">
      <w:pPr>
        <w:pStyle w:val="20"/>
        <w:numPr>
          <w:ilvl w:val="0"/>
          <w:numId w:val="19"/>
        </w:numPr>
        <w:rPr>
          <w:rFonts w:ascii="宋体" w:eastAsia="宋体" w:hAnsi="宋体"/>
        </w:rPr>
      </w:pPr>
      <w:r w:rsidRPr="00CE6FD8">
        <w:rPr>
          <w:rFonts w:ascii="宋体" w:eastAsia="宋体" w:hAnsi="宋体" w:hint="eastAsia"/>
        </w:rPr>
        <w:t>衡水湖水资源规划</w:t>
      </w:r>
    </w:p>
    <w:p w:rsidR="001C6291" w:rsidRPr="001C6291" w:rsidRDefault="001C6291" w:rsidP="001C6291">
      <w:pPr>
        <w:spacing w:line="360" w:lineRule="auto"/>
        <w:ind w:firstLineChars="200" w:firstLine="480"/>
        <w:rPr>
          <w:sz w:val="24"/>
          <w:szCs w:val="20"/>
        </w:rPr>
      </w:pPr>
      <w:r w:rsidRPr="001C6291">
        <w:rPr>
          <w:rFonts w:hint="eastAsia"/>
          <w:sz w:val="24"/>
          <w:szCs w:val="20"/>
        </w:rPr>
        <w:t>坚持“水量优先、确保水质、方式适宜”的原则，引黄水、岗南</w:t>
      </w:r>
      <w:r w:rsidRPr="001C6291">
        <w:rPr>
          <w:rFonts w:hint="eastAsia"/>
          <w:sz w:val="24"/>
          <w:szCs w:val="20"/>
        </w:rPr>
        <w:t>-</w:t>
      </w:r>
      <w:r w:rsidRPr="001C6291">
        <w:rPr>
          <w:rFonts w:hint="eastAsia"/>
          <w:sz w:val="24"/>
          <w:szCs w:val="20"/>
        </w:rPr>
        <w:t>黄壁庄水库引水、王快水库引水、卫运河</w:t>
      </w:r>
      <w:r w:rsidRPr="001C6291">
        <w:rPr>
          <w:rFonts w:hint="eastAsia"/>
          <w:sz w:val="24"/>
          <w:szCs w:val="20"/>
        </w:rPr>
        <w:t>-</w:t>
      </w:r>
      <w:r w:rsidRPr="001C6291">
        <w:rPr>
          <w:rFonts w:hint="eastAsia"/>
          <w:sz w:val="24"/>
          <w:szCs w:val="20"/>
        </w:rPr>
        <w:t>南运河引水等地表水源，规划至</w:t>
      </w:r>
      <w:r w:rsidRPr="001C6291">
        <w:rPr>
          <w:rFonts w:hint="eastAsia"/>
          <w:sz w:val="24"/>
          <w:szCs w:val="20"/>
        </w:rPr>
        <w:t>2020</w:t>
      </w:r>
      <w:r w:rsidRPr="001C6291">
        <w:rPr>
          <w:rFonts w:hint="eastAsia"/>
          <w:sz w:val="24"/>
          <w:szCs w:val="20"/>
        </w:rPr>
        <w:t>年，实现每年向衡水湖东湖调水</w:t>
      </w:r>
      <w:r w:rsidRPr="001C6291">
        <w:rPr>
          <w:rFonts w:hint="eastAsia"/>
          <w:sz w:val="24"/>
          <w:szCs w:val="20"/>
        </w:rPr>
        <w:t>1.23</w:t>
      </w:r>
      <w:r w:rsidRPr="001C6291">
        <w:rPr>
          <w:rFonts w:hint="eastAsia"/>
          <w:sz w:val="24"/>
          <w:szCs w:val="20"/>
        </w:rPr>
        <w:t>亿立方米，西湖湿地维持生态水量，并满足周边河流生态用水及辖区范围内农业灌溉、城市生活用水需求。</w:t>
      </w:r>
    </w:p>
    <w:p w:rsidR="001C6291" w:rsidRPr="00CE6FD8" w:rsidRDefault="001C6291" w:rsidP="00CE6FD8">
      <w:pPr>
        <w:pStyle w:val="20"/>
        <w:numPr>
          <w:ilvl w:val="0"/>
          <w:numId w:val="19"/>
        </w:numPr>
        <w:rPr>
          <w:rFonts w:ascii="宋体" w:eastAsia="宋体" w:hAnsi="宋体"/>
        </w:rPr>
      </w:pPr>
      <w:r w:rsidRPr="00CE6FD8">
        <w:rPr>
          <w:rFonts w:ascii="宋体" w:eastAsia="宋体" w:hAnsi="宋体" w:hint="eastAsia"/>
        </w:rPr>
        <w:t>衡水湖环境整治</w:t>
      </w:r>
    </w:p>
    <w:p w:rsidR="001C6291" w:rsidRPr="001C6291" w:rsidRDefault="001C6291" w:rsidP="001C6291">
      <w:pPr>
        <w:spacing w:line="360" w:lineRule="auto"/>
        <w:ind w:firstLineChars="200" w:firstLine="480"/>
        <w:rPr>
          <w:sz w:val="24"/>
          <w:szCs w:val="20"/>
        </w:rPr>
      </w:pPr>
      <w:r w:rsidRPr="001C6291">
        <w:rPr>
          <w:rFonts w:hint="eastAsia"/>
          <w:sz w:val="24"/>
          <w:szCs w:val="20"/>
        </w:rPr>
        <w:t>东湖的环境整治主要为湖区富营养化整治。开展湖底</w:t>
      </w:r>
      <w:r w:rsidRPr="001C6291">
        <w:rPr>
          <w:sz w:val="24"/>
          <w:szCs w:val="20"/>
        </w:rPr>
        <w:t>清淤、优化水生植物布局、</w:t>
      </w:r>
      <w:r w:rsidRPr="001C6291">
        <w:rPr>
          <w:rFonts w:hint="eastAsia"/>
          <w:sz w:val="24"/>
          <w:szCs w:val="20"/>
        </w:rPr>
        <w:t>增殖放流工程</w:t>
      </w:r>
      <w:r w:rsidRPr="001C6291">
        <w:rPr>
          <w:sz w:val="24"/>
          <w:szCs w:val="20"/>
        </w:rPr>
        <w:t>、</w:t>
      </w:r>
      <w:r w:rsidRPr="001C6291">
        <w:rPr>
          <w:rFonts w:hint="eastAsia"/>
          <w:sz w:val="24"/>
          <w:szCs w:val="20"/>
        </w:rPr>
        <w:t>环湖生态林建设、入湖口生态修复、滏阳新河湿地建设等工程</w:t>
      </w:r>
      <w:r w:rsidRPr="001C6291">
        <w:rPr>
          <w:sz w:val="24"/>
          <w:szCs w:val="20"/>
        </w:rPr>
        <w:t>措施</w:t>
      </w:r>
      <w:r w:rsidRPr="001C6291">
        <w:rPr>
          <w:rFonts w:hint="eastAsia"/>
          <w:sz w:val="24"/>
          <w:szCs w:val="20"/>
        </w:rPr>
        <w:t>解决</w:t>
      </w:r>
      <w:r w:rsidRPr="001C6291">
        <w:rPr>
          <w:sz w:val="24"/>
          <w:szCs w:val="20"/>
        </w:rPr>
        <w:t>湖体富营养化</w:t>
      </w:r>
      <w:r w:rsidRPr="001C6291">
        <w:rPr>
          <w:rFonts w:hint="eastAsia"/>
          <w:sz w:val="24"/>
          <w:szCs w:val="20"/>
        </w:rPr>
        <w:t>问题。</w:t>
      </w:r>
    </w:p>
    <w:p w:rsidR="001C6291" w:rsidRPr="001C6291" w:rsidRDefault="001C6291" w:rsidP="001C6291">
      <w:pPr>
        <w:spacing w:line="360" w:lineRule="auto"/>
        <w:ind w:firstLineChars="200" w:firstLine="480"/>
        <w:rPr>
          <w:sz w:val="24"/>
          <w:szCs w:val="20"/>
        </w:rPr>
      </w:pPr>
      <w:r w:rsidRPr="001C6291">
        <w:rPr>
          <w:rFonts w:hint="eastAsia"/>
          <w:sz w:val="24"/>
          <w:szCs w:val="20"/>
        </w:rPr>
        <w:t>开展西湖蓄水生态</w:t>
      </w:r>
      <w:r w:rsidRPr="001C6291">
        <w:rPr>
          <w:sz w:val="24"/>
          <w:szCs w:val="20"/>
        </w:rPr>
        <w:t>恢复工程</w:t>
      </w:r>
      <w:r w:rsidRPr="001C6291">
        <w:rPr>
          <w:rFonts w:hint="eastAsia"/>
          <w:sz w:val="24"/>
          <w:szCs w:val="20"/>
        </w:rPr>
        <w:t>。规划西湖蓄水区位于南良、北良以东，段村、刘家埝村以西，南至南尉迟村附近，北至滏东排河以南的区域内。保护区范围内开垦的农田恢复为湿地，同时结合后续湿地补蓄水工程、植被恢复工程及生态移民工程实施，促进</w:t>
      </w:r>
      <w:r w:rsidRPr="001C6291">
        <w:rPr>
          <w:sz w:val="24"/>
          <w:szCs w:val="20"/>
        </w:rPr>
        <w:t>湿地自然恢复，增大</w:t>
      </w:r>
      <w:r w:rsidRPr="001C6291">
        <w:rPr>
          <w:rFonts w:hint="eastAsia"/>
          <w:sz w:val="24"/>
          <w:szCs w:val="20"/>
        </w:rPr>
        <w:t>湿地面积。</w:t>
      </w:r>
    </w:p>
    <w:p w:rsidR="001C6291" w:rsidRPr="001C6291" w:rsidRDefault="001C6291" w:rsidP="001C6291">
      <w:pPr>
        <w:spacing w:line="360" w:lineRule="auto"/>
        <w:ind w:firstLineChars="200" w:firstLine="480"/>
        <w:rPr>
          <w:sz w:val="24"/>
          <w:szCs w:val="20"/>
        </w:rPr>
      </w:pPr>
      <w:r w:rsidRPr="001C6291">
        <w:rPr>
          <w:rFonts w:hint="eastAsia"/>
          <w:sz w:val="24"/>
          <w:szCs w:val="20"/>
        </w:rPr>
        <w:t>开展衡水湖输水河道的环境综合整治工程，消除引水线路上的内源污染，降低泥沙输入量，恢复河道完整生态系统。</w:t>
      </w:r>
    </w:p>
    <w:p w:rsidR="001C6291" w:rsidRPr="001C6291" w:rsidRDefault="001C6291" w:rsidP="001C6291">
      <w:pPr>
        <w:spacing w:line="360" w:lineRule="auto"/>
        <w:ind w:firstLineChars="200" w:firstLine="480"/>
        <w:rPr>
          <w:sz w:val="24"/>
          <w:szCs w:val="20"/>
        </w:rPr>
      </w:pPr>
      <w:r w:rsidRPr="001C6291">
        <w:rPr>
          <w:rFonts w:hint="eastAsia"/>
          <w:sz w:val="24"/>
          <w:szCs w:val="20"/>
        </w:rPr>
        <w:t>积极</w:t>
      </w:r>
      <w:r w:rsidRPr="001C6291">
        <w:rPr>
          <w:sz w:val="24"/>
          <w:szCs w:val="20"/>
        </w:rPr>
        <w:t>推进</w:t>
      </w:r>
      <w:r w:rsidRPr="001C6291">
        <w:rPr>
          <w:rFonts w:hint="eastAsia"/>
          <w:sz w:val="24"/>
          <w:szCs w:val="20"/>
        </w:rPr>
        <w:t>流域内</w:t>
      </w:r>
      <w:r w:rsidRPr="001C6291">
        <w:rPr>
          <w:sz w:val="24"/>
          <w:szCs w:val="20"/>
        </w:rPr>
        <w:t>综合污染源防治工作，</w:t>
      </w:r>
      <w:r w:rsidRPr="001C6291">
        <w:rPr>
          <w:rFonts w:hint="eastAsia"/>
          <w:sz w:val="24"/>
          <w:szCs w:val="20"/>
        </w:rPr>
        <w:t>重点治理农村生活污水、生活垃圾、畜禽养殖、农业生产等带来的面源污染。</w:t>
      </w:r>
    </w:p>
    <w:p w:rsidR="001C6291" w:rsidRPr="001C6291" w:rsidRDefault="001C6291" w:rsidP="001C6291">
      <w:pPr>
        <w:spacing w:line="360" w:lineRule="auto"/>
        <w:ind w:firstLineChars="200" w:firstLine="480"/>
        <w:rPr>
          <w:sz w:val="24"/>
          <w:szCs w:val="20"/>
        </w:rPr>
      </w:pPr>
      <w:r w:rsidRPr="001C6291">
        <w:rPr>
          <w:rFonts w:hint="eastAsia"/>
          <w:sz w:val="24"/>
          <w:szCs w:val="20"/>
        </w:rPr>
        <w:t>有序推进保护区内农村生态搬迁。注重村镇与园区结合、定居与就业结合，</w:t>
      </w:r>
      <w:r w:rsidRPr="001C6291">
        <w:rPr>
          <w:rFonts w:hint="eastAsia"/>
          <w:sz w:val="24"/>
          <w:szCs w:val="20"/>
        </w:rPr>
        <w:lastRenderedPageBreak/>
        <w:t>结合城镇化建设及生态型住宅小区建设，搞好就业培训及搬迁居民的生产生活安置问题。</w:t>
      </w:r>
    </w:p>
    <w:p w:rsidR="001C6291" w:rsidRPr="00CE6FD8" w:rsidRDefault="001C6291" w:rsidP="00CE6FD8">
      <w:pPr>
        <w:pStyle w:val="20"/>
        <w:numPr>
          <w:ilvl w:val="0"/>
          <w:numId w:val="19"/>
        </w:numPr>
        <w:rPr>
          <w:rFonts w:ascii="宋体" w:eastAsia="宋体" w:hAnsi="宋体"/>
        </w:rPr>
      </w:pPr>
      <w:r w:rsidRPr="00CE6FD8">
        <w:rPr>
          <w:rFonts w:ascii="宋体" w:eastAsia="宋体" w:hAnsi="宋体" w:hint="eastAsia"/>
        </w:rPr>
        <w:t>衡水湖保护区</w:t>
      </w:r>
      <w:r w:rsidRPr="00CE6FD8">
        <w:rPr>
          <w:rFonts w:ascii="宋体" w:eastAsia="宋体" w:hAnsi="宋体"/>
        </w:rPr>
        <w:t>环境管理</w:t>
      </w:r>
    </w:p>
    <w:p w:rsidR="001C6291" w:rsidRPr="001C6291" w:rsidRDefault="001C6291" w:rsidP="001C6291">
      <w:pPr>
        <w:spacing w:line="360" w:lineRule="auto"/>
        <w:ind w:firstLineChars="200" w:firstLine="480"/>
        <w:rPr>
          <w:sz w:val="24"/>
          <w:szCs w:val="20"/>
        </w:rPr>
      </w:pPr>
      <w:r w:rsidRPr="001C6291">
        <w:rPr>
          <w:rFonts w:hint="eastAsia"/>
          <w:sz w:val="24"/>
          <w:szCs w:val="20"/>
        </w:rPr>
        <w:t>在彭杜乡、魏屯镇托管的基础上，对保护区涉及的河沿镇、冀州镇、小寨乡、徐家庄乡、肖张镇</w:t>
      </w:r>
      <w:r w:rsidRPr="001C6291">
        <w:rPr>
          <w:rFonts w:hint="eastAsia"/>
          <w:sz w:val="24"/>
          <w:szCs w:val="20"/>
        </w:rPr>
        <w:t>5</w:t>
      </w:r>
      <w:r w:rsidRPr="001C6291">
        <w:rPr>
          <w:rFonts w:hint="eastAsia"/>
          <w:sz w:val="24"/>
          <w:szCs w:val="20"/>
        </w:rPr>
        <w:t>个乡镇及村庄逐步由衡水滨湖新区管委会进行托管，从而实现对衡水湖全覆盖、无缝隙的生态环境保护管理体制。</w:t>
      </w:r>
    </w:p>
    <w:p w:rsidR="00FA7DEC" w:rsidRPr="00FA7DEC" w:rsidRDefault="001C6291" w:rsidP="00FA7DEC">
      <w:pPr>
        <w:spacing w:line="360" w:lineRule="auto"/>
        <w:ind w:firstLineChars="200" w:firstLine="480"/>
        <w:rPr>
          <w:sz w:val="24"/>
          <w:szCs w:val="20"/>
        </w:rPr>
      </w:pPr>
      <w:r w:rsidRPr="001C6291">
        <w:rPr>
          <w:rFonts w:hint="eastAsia"/>
          <w:sz w:val="24"/>
          <w:szCs w:val="20"/>
        </w:rPr>
        <w:t>提升环境科研监测能力，增加衡水湖湖区、重要入湖断面、重要生态保护区水质监测点，在衡水湖湖区设立水、空气质量自动监测站；购置完善环境监测仪器设备，建成符合国家环境监测标准化要求的环境监测站点。加强生态系统修复、湿地生态发展与保护等专项研究，形成以湿地生态系统研究为核心的研究基地。</w:t>
      </w:r>
      <w:bookmarkStart w:id="31" w:name="_Toc479778265"/>
      <w:bookmarkStart w:id="32" w:name="_Toc491719782"/>
      <w:bookmarkStart w:id="33" w:name="_Toc513638731"/>
    </w:p>
    <w:p w:rsidR="001C6291" w:rsidRPr="00FA7DEC" w:rsidRDefault="001C6291" w:rsidP="00FA7DEC">
      <w:pPr>
        <w:pStyle w:val="1"/>
        <w:numPr>
          <w:ilvl w:val="0"/>
          <w:numId w:val="7"/>
        </w:numPr>
      </w:pPr>
      <w:r w:rsidRPr="00FA7DEC">
        <w:rPr>
          <w:rFonts w:hint="eastAsia"/>
        </w:rPr>
        <w:t>规划实施</w:t>
      </w:r>
      <w:bookmarkEnd w:id="31"/>
      <w:bookmarkEnd w:id="32"/>
      <w:bookmarkEnd w:id="33"/>
    </w:p>
    <w:p w:rsidR="001C6291" w:rsidRPr="00CE6FD8" w:rsidRDefault="001C6291" w:rsidP="00CE6FD8">
      <w:pPr>
        <w:pStyle w:val="20"/>
        <w:numPr>
          <w:ilvl w:val="0"/>
          <w:numId w:val="20"/>
        </w:numPr>
        <w:rPr>
          <w:rFonts w:ascii="宋体" w:eastAsia="宋体" w:hAnsi="宋体"/>
        </w:rPr>
      </w:pPr>
      <w:r w:rsidRPr="00CE6FD8">
        <w:rPr>
          <w:rFonts w:ascii="宋体" w:eastAsia="宋体" w:hAnsi="宋体" w:hint="eastAsia"/>
        </w:rPr>
        <w:t>规划衔接与</w:t>
      </w:r>
      <w:r w:rsidRPr="00CE6FD8">
        <w:rPr>
          <w:rFonts w:ascii="宋体" w:eastAsia="宋体" w:hAnsi="宋体"/>
        </w:rPr>
        <w:t>融合</w:t>
      </w:r>
    </w:p>
    <w:p w:rsidR="001C6291" w:rsidRPr="001C6291" w:rsidRDefault="001C6291" w:rsidP="001C6291">
      <w:pPr>
        <w:spacing w:line="360" w:lineRule="auto"/>
        <w:ind w:firstLineChars="200" w:firstLine="480"/>
        <w:rPr>
          <w:color w:val="000000"/>
          <w:szCs w:val="21"/>
        </w:rPr>
      </w:pPr>
      <w:r w:rsidRPr="001C6291">
        <w:rPr>
          <w:rFonts w:hint="eastAsia"/>
          <w:sz w:val="24"/>
          <w:szCs w:val="20"/>
        </w:rPr>
        <w:t>本规划的规划目标、任务和工程项目与“十三五”经济社会发展总体规划和政府投资计划相一致，城市总体规划和城镇体系规划进行对接、协调。环境治理与保护工作需要多部门的合作，应以各局委和乡镇政府划分责任主体，分解落实规划目标、任务、措施和项目，明确各乡镇、各局委的职责任务和进度要求，完善政府负责、环保部门统一监管、有关部门协调配合的综合管理体系。</w:t>
      </w:r>
    </w:p>
    <w:p w:rsidR="001C6291" w:rsidRPr="00CE6FD8" w:rsidRDefault="001C6291" w:rsidP="00CE6FD8">
      <w:pPr>
        <w:pStyle w:val="20"/>
        <w:numPr>
          <w:ilvl w:val="0"/>
          <w:numId w:val="20"/>
        </w:numPr>
        <w:rPr>
          <w:rFonts w:ascii="宋体" w:eastAsia="宋体" w:hAnsi="宋体"/>
        </w:rPr>
      </w:pPr>
      <w:r w:rsidRPr="00CE6FD8">
        <w:rPr>
          <w:rFonts w:ascii="宋体" w:eastAsia="宋体" w:hAnsi="宋体" w:hint="eastAsia"/>
        </w:rPr>
        <w:t>管理</w:t>
      </w:r>
      <w:r w:rsidRPr="00CE6FD8">
        <w:rPr>
          <w:rFonts w:ascii="宋体" w:eastAsia="宋体" w:hAnsi="宋体"/>
        </w:rPr>
        <w:t>保障</w:t>
      </w:r>
    </w:p>
    <w:p w:rsidR="001C6291" w:rsidRPr="001C6291" w:rsidRDefault="001C6291" w:rsidP="001C6291">
      <w:pPr>
        <w:spacing w:line="360" w:lineRule="auto"/>
        <w:ind w:firstLineChars="200" w:firstLine="480"/>
        <w:rPr>
          <w:sz w:val="24"/>
          <w:szCs w:val="20"/>
        </w:rPr>
      </w:pPr>
      <w:r w:rsidRPr="001C6291">
        <w:rPr>
          <w:rFonts w:hint="eastAsia"/>
          <w:sz w:val="24"/>
          <w:szCs w:val="20"/>
        </w:rPr>
        <w:t>加强</w:t>
      </w:r>
      <w:r w:rsidRPr="001C6291">
        <w:rPr>
          <w:sz w:val="24"/>
          <w:szCs w:val="20"/>
        </w:rPr>
        <w:t>组织协调</w:t>
      </w:r>
      <w:r w:rsidRPr="001C6291">
        <w:rPr>
          <w:rFonts w:hint="eastAsia"/>
          <w:sz w:val="24"/>
          <w:szCs w:val="20"/>
        </w:rPr>
        <w:t>，实施</w:t>
      </w:r>
      <w:r w:rsidRPr="001C6291">
        <w:rPr>
          <w:sz w:val="24"/>
          <w:szCs w:val="20"/>
        </w:rPr>
        <w:t>环境</w:t>
      </w:r>
      <w:r w:rsidRPr="001C6291">
        <w:rPr>
          <w:rFonts w:hint="eastAsia"/>
          <w:sz w:val="24"/>
          <w:szCs w:val="20"/>
        </w:rPr>
        <w:t>保护目标</w:t>
      </w:r>
      <w:r w:rsidRPr="001C6291">
        <w:rPr>
          <w:sz w:val="24"/>
          <w:szCs w:val="20"/>
        </w:rPr>
        <w:t>责任制</w:t>
      </w:r>
      <w:r w:rsidRPr="001C6291">
        <w:rPr>
          <w:rFonts w:hint="eastAsia"/>
          <w:sz w:val="24"/>
          <w:szCs w:val="20"/>
        </w:rPr>
        <w:t>，建立综合决策机制，促进区域可持续发展。</w:t>
      </w:r>
    </w:p>
    <w:p w:rsidR="001C6291" w:rsidRPr="001C6291" w:rsidRDefault="001C6291" w:rsidP="001C6291">
      <w:pPr>
        <w:spacing w:line="360" w:lineRule="auto"/>
        <w:ind w:firstLineChars="200" w:firstLine="480"/>
        <w:rPr>
          <w:sz w:val="24"/>
          <w:szCs w:val="20"/>
        </w:rPr>
      </w:pPr>
      <w:r w:rsidRPr="001C6291">
        <w:rPr>
          <w:rFonts w:hint="eastAsia"/>
          <w:sz w:val="24"/>
          <w:szCs w:val="20"/>
        </w:rPr>
        <w:t>加强环保执法力度，“有法必依、违法必究”。深入开展整治违法排污专项活动，对重点的流域（区域）、污染行业、污染源加大执法力度。依法采取限期治理、吊销排污许可证等措施，对构成犯罪的，依法追究刑事责任；严格</w:t>
      </w:r>
      <w:r w:rsidRPr="001C6291">
        <w:rPr>
          <w:sz w:val="24"/>
          <w:szCs w:val="20"/>
        </w:rPr>
        <w:t>环境执法</w:t>
      </w:r>
      <w:r w:rsidRPr="001C6291">
        <w:rPr>
          <w:rFonts w:hint="eastAsia"/>
          <w:sz w:val="24"/>
          <w:szCs w:val="20"/>
        </w:rPr>
        <w:t>。建立公众参与的环境执法机制，及时核实</w:t>
      </w:r>
      <w:r w:rsidRPr="001C6291">
        <w:rPr>
          <w:sz w:val="24"/>
          <w:szCs w:val="20"/>
        </w:rPr>
        <w:t>处理环境投诉案件，</w:t>
      </w:r>
      <w:r w:rsidRPr="001C6291">
        <w:rPr>
          <w:rFonts w:hint="eastAsia"/>
          <w:sz w:val="24"/>
          <w:szCs w:val="20"/>
        </w:rPr>
        <w:t>实现</w:t>
      </w:r>
      <w:r w:rsidRPr="001C6291">
        <w:rPr>
          <w:sz w:val="24"/>
          <w:szCs w:val="20"/>
        </w:rPr>
        <w:t>公众环境监督。</w:t>
      </w:r>
    </w:p>
    <w:p w:rsidR="001C6291" w:rsidRPr="001C6291" w:rsidRDefault="001C6291" w:rsidP="001C6291">
      <w:pPr>
        <w:spacing w:line="360" w:lineRule="auto"/>
        <w:ind w:firstLineChars="200" w:firstLine="480"/>
        <w:rPr>
          <w:sz w:val="24"/>
          <w:szCs w:val="20"/>
        </w:rPr>
      </w:pPr>
      <w:r w:rsidRPr="001C6291">
        <w:rPr>
          <w:rFonts w:hint="eastAsia"/>
          <w:sz w:val="24"/>
          <w:szCs w:val="20"/>
        </w:rPr>
        <w:lastRenderedPageBreak/>
        <w:t>严格环境管理制度，将环境规划制度、环境影响评价及“三同时”制度有机结合，防止新污染产生。全面实施排污收费制度、排污申报登记与排污许可证制度、污染集中控制制度和限期治理制度。加强工业污染源管理，削减污染负荷。</w:t>
      </w:r>
    </w:p>
    <w:p w:rsidR="001C6291" w:rsidRPr="00CE6FD8" w:rsidRDefault="001C6291" w:rsidP="00CE6FD8">
      <w:pPr>
        <w:pStyle w:val="20"/>
        <w:numPr>
          <w:ilvl w:val="0"/>
          <w:numId w:val="20"/>
        </w:numPr>
        <w:rPr>
          <w:rFonts w:ascii="宋体" w:eastAsia="宋体" w:hAnsi="宋体"/>
        </w:rPr>
      </w:pPr>
      <w:bookmarkStart w:id="34" w:name="_Toc479778267"/>
      <w:r w:rsidRPr="00CE6FD8">
        <w:rPr>
          <w:rFonts w:ascii="宋体" w:eastAsia="宋体" w:hAnsi="宋体" w:hint="eastAsia"/>
        </w:rPr>
        <w:t>技术保障</w:t>
      </w:r>
      <w:bookmarkEnd w:id="34"/>
    </w:p>
    <w:p w:rsidR="001C6291" w:rsidRPr="001C6291" w:rsidRDefault="001C6291" w:rsidP="001C6291">
      <w:pPr>
        <w:spacing w:line="360" w:lineRule="auto"/>
        <w:ind w:firstLineChars="200" w:firstLine="480"/>
        <w:rPr>
          <w:sz w:val="24"/>
          <w:szCs w:val="20"/>
        </w:rPr>
      </w:pPr>
      <w:r w:rsidRPr="001C6291">
        <w:rPr>
          <w:rFonts w:hint="eastAsia"/>
          <w:sz w:val="24"/>
          <w:szCs w:val="20"/>
        </w:rPr>
        <w:t>深化</w:t>
      </w:r>
      <w:r w:rsidRPr="001C6291">
        <w:rPr>
          <w:sz w:val="24"/>
          <w:szCs w:val="20"/>
        </w:rPr>
        <w:t>环境科技体制改革</w:t>
      </w:r>
      <w:r w:rsidRPr="001C6291">
        <w:rPr>
          <w:rFonts w:hint="eastAsia"/>
          <w:sz w:val="24"/>
          <w:szCs w:val="20"/>
        </w:rPr>
        <w:t>，建立一支结构合理、人员精干的环境科研队伍和与之相适应的环境科技管理体制，培养重点学科技术带头人和中青年科技人才。积极引进环保方面的专家和技术人才，壮大环保科技队伍。加大对科学技术研究投入力度，制定专项科研计划。</w:t>
      </w:r>
    </w:p>
    <w:p w:rsidR="001C6291" w:rsidRPr="001C6291" w:rsidRDefault="001C6291" w:rsidP="00CE6FD8">
      <w:pPr>
        <w:spacing w:line="360" w:lineRule="auto"/>
        <w:ind w:firstLineChars="200" w:firstLine="480"/>
        <w:rPr>
          <w:sz w:val="24"/>
          <w:szCs w:val="20"/>
        </w:rPr>
      </w:pPr>
      <w:r w:rsidRPr="001C6291">
        <w:rPr>
          <w:rFonts w:hint="eastAsia"/>
          <w:sz w:val="24"/>
          <w:szCs w:val="20"/>
        </w:rPr>
        <w:t>强化环境监测能力，建立布点合理</w:t>
      </w:r>
      <w:r w:rsidRPr="001C6291">
        <w:rPr>
          <w:sz w:val="24"/>
          <w:szCs w:val="20"/>
        </w:rPr>
        <w:t>、覆盖全面的</w:t>
      </w:r>
      <w:r w:rsidRPr="001C6291">
        <w:rPr>
          <w:rFonts w:hint="eastAsia"/>
          <w:sz w:val="24"/>
          <w:szCs w:val="20"/>
        </w:rPr>
        <w:t>大气</w:t>
      </w:r>
      <w:r w:rsidRPr="001C6291">
        <w:rPr>
          <w:sz w:val="24"/>
          <w:szCs w:val="20"/>
        </w:rPr>
        <w:t>、水环境监测系统，</w:t>
      </w:r>
      <w:r w:rsidRPr="001C6291">
        <w:rPr>
          <w:rFonts w:hint="eastAsia"/>
          <w:sz w:val="24"/>
          <w:szCs w:val="20"/>
        </w:rPr>
        <w:t>强化监测机构的环境质量监测和污染源监督监测，形成全面的监测能力和快速反应能力，使其能够及时地提供准确动态的环境监测数据和高效的监测服务。</w:t>
      </w:r>
    </w:p>
    <w:p w:rsidR="001C6291" w:rsidRPr="00CE6FD8" w:rsidRDefault="001C6291" w:rsidP="00CE6FD8">
      <w:pPr>
        <w:pStyle w:val="20"/>
        <w:numPr>
          <w:ilvl w:val="0"/>
          <w:numId w:val="20"/>
        </w:numPr>
        <w:rPr>
          <w:rFonts w:ascii="宋体" w:eastAsia="宋体" w:hAnsi="宋体"/>
        </w:rPr>
      </w:pPr>
      <w:bookmarkStart w:id="35" w:name="_Toc479778268"/>
      <w:r w:rsidRPr="00CE6FD8">
        <w:rPr>
          <w:rFonts w:ascii="宋体" w:eastAsia="宋体" w:hAnsi="宋体" w:hint="eastAsia"/>
        </w:rPr>
        <w:t>资金保障</w:t>
      </w:r>
      <w:bookmarkEnd w:id="35"/>
    </w:p>
    <w:p w:rsidR="001C6291" w:rsidRPr="001C6291" w:rsidRDefault="001C6291" w:rsidP="001C6291">
      <w:pPr>
        <w:spacing w:line="360" w:lineRule="auto"/>
        <w:ind w:firstLineChars="200" w:firstLine="480"/>
        <w:rPr>
          <w:sz w:val="24"/>
          <w:szCs w:val="20"/>
        </w:rPr>
      </w:pPr>
      <w:r w:rsidRPr="001C6291">
        <w:rPr>
          <w:rFonts w:hint="eastAsia"/>
          <w:sz w:val="24"/>
          <w:szCs w:val="20"/>
        </w:rPr>
        <w:t>建立</w:t>
      </w:r>
      <w:r w:rsidRPr="001C6291">
        <w:rPr>
          <w:sz w:val="24"/>
          <w:szCs w:val="20"/>
        </w:rPr>
        <w:t>健全稳定的投入保障</w:t>
      </w:r>
      <w:r w:rsidRPr="001C6291">
        <w:rPr>
          <w:rFonts w:hint="eastAsia"/>
          <w:sz w:val="24"/>
          <w:szCs w:val="20"/>
        </w:rPr>
        <w:t>机制，将生态市建设经费纳入市县两级财政预算，不断提高财政对环境保护的支出，提高环保投入占</w:t>
      </w:r>
      <w:r w:rsidRPr="001C6291">
        <w:rPr>
          <w:rFonts w:hint="eastAsia"/>
          <w:sz w:val="24"/>
          <w:szCs w:val="20"/>
        </w:rPr>
        <w:t>GDP</w:t>
      </w:r>
      <w:r w:rsidRPr="001C6291">
        <w:rPr>
          <w:rFonts w:hint="eastAsia"/>
          <w:sz w:val="24"/>
          <w:szCs w:val="20"/>
        </w:rPr>
        <w:t>的比例。</w:t>
      </w:r>
    </w:p>
    <w:p w:rsidR="001C6291" w:rsidRPr="001C6291" w:rsidRDefault="001C6291" w:rsidP="001C6291">
      <w:pPr>
        <w:spacing w:line="360" w:lineRule="auto"/>
        <w:ind w:firstLineChars="200" w:firstLine="480"/>
        <w:rPr>
          <w:sz w:val="24"/>
          <w:szCs w:val="20"/>
        </w:rPr>
      </w:pPr>
      <w:r w:rsidRPr="001C6291">
        <w:rPr>
          <w:rFonts w:hint="eastAsia"/>
          <w:sz w:val="24"/>
          <w:szCs w:val="20"/>
        </w:rPr>
        <w:t>建立多元</w:t>
      </w:r>
      <w:r w:rsidRPr="001C6291">
        <w:rPr>
          <w:sz w:val="24"/>
          <w:szCs w:val="20"/>
        </w:rPr>
        <w:t>化</w:t>
      </w:r>
      <w:r w:rsidRPr="001C6291">
        <w:rPr>
          <w:rFonts w:hint="eastAsia"/>
          <w:sz w:val="24"/>
          <w:szCs w:val="20"/>
        </w:rPr>
        <w:t>投融资体系，积极争取国家及河北省在</w:t>
      </w:r>
      <w:r w:rsidRPr="001C6291">
        <w:rPr>
          <w:sz w:val="24"/>
          <w:szCs w:val="20"/>
        </w:rPr>
        <w:t>环境治理及生态建设等方面的专项资金</w:t>
      </w:r>
      <w:r w:rsidRPr="001C6291">
        <w:rPr>
          <w:rFonts w:hint="eastAsia"/>
          <w:sz w:val="24"/>
          <w:szCs w:val="20"/>
        </w:rPr>
        <w:t>。扩展投融资渠道</w:t>
      </w:r>
      <w:r w:rsidRPr="001C6291">
        <w:rPr>
          <w:sz w:val="24"/>
          <w:szCs w:val="20"/>
        </w:rPr>
        <w:t>，</w:t>
      </w:r>
      <w:r w:rsidRPr="001C6291">
        <w:rPr>
          <w:rFonts w:hint="eastAsia"/>
          <w:sz w:val="24"/>
          <w:szCs w:val="20"/>
        </w:rPr>
        <w:t>加大资本市场运作力度，采用</w:t>
      </w:r>
      <w:r w:rsidRPr="001C6291">
        <w:rPr>
          <w:rFonts w:hint="eastAsia"/>
          <w:sz w:val="24"/>
          <w:szCs w:val="20"/>
        </w:rPr>
        <w:t>BT</w:t>
      </w:r>
      <w:r w:rsidRPr="001C6291">
        <w:rPr>
          <w:rFonts w:hint="eastAsia"/>
          <w:sz w:val="24"/>
          <w:szCs w:val="20"/>
        </w:rPr>
        <w:t>、</w:t>
      </w:r>
      <w:r w:rsidRPr="001C6291">
        <w:rPr>
          <w:rFonts w:hint="eastAsia"/>
          <w:sz w:val="24"/>
          <w:szCs w:val="20"/>
        </w:rPr>
        <w:t>BOT</w:t>
      </w:r>
      <w:r w:rsidRPr="001C6291">
        <w:rPr>
          <w:rFonts w:hint="eastAsia"/>
          <w:sz w:val="24"/>
          <w:szCs w:val="20"/>
        </w:rPr>
        <w:t>、</w:t>
      </w:r>
      <w:r w:rsidRPr="001C6291">
        <w:rPr>
          <w:rFonts w:hint="eastAsia"/>
          <w:sz w:val="24"/>
          <w:szCs w:val="20"/>
        </w:rPr>
        <w:t>TOT</w:t>
      </w:r>
      <w:r w:rsidRPr="001C6291">
        <w:rPr>
          <w:rFonts w:hint="eastAsia"/>
          <w:sz w:val="24"/>
          <w:szCs w:val="20"/>
        </w:rPr>
        <w:t>等融资模式，广泛吸引社会和民间资金参与环境保护与生态建设。发挥信用担保等机构的作用，为环境保护提供更多融资服务。</w:t>
      </w:r>
    </w:p>
    <w:p w:rsidR="001C6291" w:rsidRPr="001C6291" w:rsidRDefault="001C6291" w:rsidP="001C6291">
      <w:pPr>
        <w:spacing w:line="360" w:lineRule="auto"/>
        <w:ind w:firstLineChars="200" w:firstLine="480"/>
        <w:rPr>
          <w:sz w:val="24"/>
          <w:szCs w:val="20"/>
        </w:rPr>
      </w:pPr>
      <w:r w:rsidRPr="001C6291">
        <w:rPr>
          <w:rFonts w:hint="eastAsia"/>
          <w:sz w:val="24"/>
          <w:szCs w:val="20"/>
        </w:rPr>
        <w:t>加强资金监管，</w:t>
      </w:r>
      <w:bookmarkStart w:id="36" w:name="_Toc479778269"/>
      <w:r w:rsidRPr="001C6291">
        <w:rPr>
          <w:rFonts w:hint="eastAsia"/>
          <w:sz w:val="24"/>
          <w:szCs w:val="20"/>
        </w:rPr>
        <w:t>坚持“量入为出”和“专款专用”的原则，把环保基金用到环境效益显著、社会效益明显的项目上。</w:t>
      </w:r>
      <w:bookmarkEnd w:id="36"/>
    </w:p>
    <w:p w:rsidR="00A05783" w:rsidRPr="00177EED" w:rsidRDefault="00A05783" w:rsidP="001C6291">
      <w:pPr>
        <w:rPr>
          <w:rFonts w:ascii="宋体" w:hAnsi="宋体"/>
          <w:lang w:val="x-none"/>
        </w:rPr>
      </w:pPr>
    </w:p>
    <w:sectPr w:rsidR="00A05783" w:rsidRPr="00177E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3B5" w:rsidRDefault="00D103B5" w:rsidP="00BB1551">
      <w:r>
        <w:separator/>
      </w:r>
    </w:p>
  </w:endnote>
  <w:endnote w:type="continuationSeparator" w:id="0">
    <w:p w:rsidR="00D103B5" w:rsidRDefault="00D103B5" w:rsidP="00BB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宋体">
    <w:altName w:val="Sim 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體">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3B5" w:rsidRDefault="00D103B5" w:rsidP="00BB1551">
      <w:r>
        <w:separator/>
      </w:r>
    </w:p>
  </w:footnote>
  <w:footnote w:type="continuationSeparator" w:id="0">
    <w:p w:rsidR="00D103B5" w:rsidRDefault="00D103B5" w:rsidP="00BB1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B8A"/>
    <w:multiLevelType w:val="hybridMultilevel"/>
    <w:tmpl w:val="C1BAA5D6"/>
    <w:lvl w:ilvl="0" w:tplc="FBF6965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51100F"/>
    <w:multiLevelType w:val="hybridMultilevel"/>
    <w:tmpl w:val="C1BAA5D6"/>
    <w:lvl w:ilvl="0" w:tplc="FBF6965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F06853"/>
    <w:multiLevelType w:val="hybridMultilevel"/>
    <w:tmpl w:val="C1BAA5D6"/>
    <w:lvl w:ilvl="0" w:tplc="FBF6965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7C4AEA"/>
    <w:multiLevelType w:val="hybridMultilevel"/>
    <w:tmpl w:val="C1BAA5D6"/>
    <w:lvl w:ilvl="0" w:tplc="FBF6965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6E1049"/>
    <w:multiLevelType w:val="hybridMultilevel"/>
    <w:tmpl w:val="C1BAA5D6"/>
    <w:lvl w:ilvl="0" w:tplc="FBF6965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B34EF2"/>
    <w:multiLevelType w:val="hybridMultilevel"/>
    <w:tmpl w:val="DAEAC810"/>
    <w:lvl w:ilvl="0" w:tplc="82C67F06">
      <w:start w:val="1"/>
      <w:numFmt w:val="chineseCountingThousand"/>
      <w:lvlText w:val="%1."/>
      <w:lvlJc w:val="left"/>
      <w:pPr>
        <w:ind w:left="420" w:hanging="420"/>
      </w:pPr>
      <w:rPr>
        <w:rFonts w:ascii="宋体" w:eastAsia="宋体" w:hAnsi="宋体"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E17632"/>
    <w:multiLevelType w:val="hybridMultilevel"/>
    <w:tmpl w:val="C1BAA5D6"/>
    <w:lvl w:ilvl="0" w:tplc="FBF6965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BE167BF"/>
    <w:multiLevelType w:val="hybridMultilevel"/>
    <w:tmpl w:val="C1BAA5D6"/>
    <w:lvl w:ilvl="0" w:tplc="FBF6965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2B847E0"/>
    <w:multiLevelType w:val="hybridMultilevel"/>
    <w:tmpl w:val="C1BAA5D6"/>
    <w:lvl w:ilvl="0" w:tplc="FBF6965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593A45"/>
    <w:multiLevelType w:val="hybridMultilevel"/>
    <w:tmpl w:val="C1BAA5D6"/>
    <w:lvl w:ilvl="0" w:tplc="FBF6965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284505"/>
    <w:multiLevelType w:val="hybridMultilevel"/>
    <w:tmpl w:val="C1BAA5D6"/>
    <w:lvl w:ilvl="0" w:tplc="FBF6965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839773F"/>
    <w:multiLevelType w:val="multilevel"/>
    <w:tmpl w:val="AB6AA160"/>
    <w:lvl w:ilvl="0">
      <w:start w:val="1"/>
      <w:numFmt w:val="chineseCountingThousand"/>
      <w:pStyle w:val="a"/>
      <w:suff w:val="space"/>
      <w:lvlText w:val="第%1章"/>
      <w:lvlJc w:val="center"/>
      <w:pPr>
        <w:ind w:left="3114" w:hanging="13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chineseCountingThousand"/>
      <w:lvlRestart w:val="0"/>
      <w:pStyle w:val="a0"/>
      <w:lvlText w:val="第%2条"/>
      <w:lvlJc w:val="left"/>
      <w:pPr>
        <w:ind w:left="680" w:hanging="255"/>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512672B6"/>
    <w:multiLevelType w:val="hybridMultilevel"/>
    <w:tmpl w:val="C1BAA5D6"/>
    <w:lvl w:ilvl="0" w:tplc="FBF6965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BC135EB"/>
    <w:multiLevelType w:val="hybridMultilevel"/>
    <w:tmpl w:val="C1BAA5D6"/>
    <w:lvl w:ilvl="0" w:tplc="FBF6965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BF34771"/>
    <w:multiLevelType w:val="hybridMultilevel"/>
    <w:tmpl w:val="FB32613E"/>
    <w:lvl w:ilvl="0" w:tplc="5D747E42">
      <w:start w:val="1"/>
      <w:numFmt w:val="decimal"/>
      <w:pStyle w:val="2"/>
      <w:lvlText w:val="（%1）"/>
      <w:lvlJc w:val="left"/>
      <w:pPr>
        <w:ind w:left="845" w:hanging="420"/>
      </w:pPr>
      <w:rPr>
        <w:rFonts w:hint="default"/>
      </w:rPr>
    </w:lvl>
    <w:lvl w:ilvl="1" w:tplc="04090019">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5" w15:restartNumberingAfterBreak="0">
    <w:nsid w:val="638C47AB"/>
    <w:multiLevelType w:val="hybridMultilevel"/>
    <w:tmpl w:val="C1BAA5D6"/>
    <w:lvl w:ilvl="0" w:tplc="FBF6965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5EB03D0"/>
    <w:multiLevelType w:val="hybridMultilevel"/>
    <w:tmpl w:val="C1BAA5D6"/>
    <w:lvl w:ilvl="0" w:tplc="FBF6965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74F5173"/>
    <w:multiLevelType w:val="hybridMultilevel"/>
    <w:tmpl w:val="C1BAA5D6"/>
    <w:lvl w:ilvl="0" w:tplc="FBF6965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79032C9"/>
    <w:multiLevelType w:val="hybridMultilevel"/>
    <w:tmpl w:val="EE724470"/>
    <w:lvl w:ilvl="0" w:tplc="D4EE6F80">
      <w:start w:val="1"/>
      <w:numFmt w:val="decimal"/>
      <w:lvlText w:val="表%1."/>
      <w:lvlJc w:val="left"/>
      <w:pPr>
        <w:ind w:left="840" w:hanging="420"/>
      </w:pPr>
      <w:rPr>
        <w:rFonts w:hint="default"/>
        <w:b/>
      </w:rPr>
    </w:lvl>
    <w:lvl w:ilvl="1" w:tplc="FABEF088">
      <w:start w:val="1"/>
      <w:numFmt w:val="decimal"/>
      <w:pStyle w:val="a1"/>
      <w:lvlText w:val="表%2."/>
      <w:lvlJc w:val="left"/>
      <w:pPr>
        <w:ind w:left="840" w:hanging="420"/>
      </w:pPr>
      <w:rPr>
        <w:rFonts w:hint="eastAsia"/>
        <w:lang w:val="en-U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A444DE1"/>
    <w:multiLevelType w:val="hybridMultilevel"/>
    <w:tmpl w:val="C1BAA5D6"/>
    <w:lvl w:ilvl="0" w:tplc="FBF6965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AA850A9"/>
    <w:multiLevelType w:val="hybridMultilevel"/>
    <w:tmpl w:val="B2424154"/>
    <w:lvl w:ilvl="0" w:tplc="DDB4068E">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4"/>
  </w:num>
  <w:num w:numId="3">
    <w:abstractNumId w:val="20"/>
  </w:num>
  <w:num w:numId="4">
    <w:abstractNumId w:val="18"/>
  </w:num>
  <w:num w:numId="5">
    <w:abstractNumId w:val="17"/>
  </w:num>
  <w:num w:numId="6">
    <w:abstractNumId w:val="9"/>
  </w:num>
  <w:num w:numId="7">
    <w:abstractNumId w:val="5"/>
  </w:num>
  <w:num w:numId="8">
    <w:abstractNumId w:val="13"/>
  </w:num>
  <w:num w:numId="9">
    <w:abstractNumId w:val="6"/>
  </w:num>
  <w:num w:numId="10">
    <w:abstractNumId w:val="4"/>
  </w:num>
  <w:num w:numId="11">
    <w:abstractNumId w:val="3"/>
  </w:num>
  <w:num w:numId="12">
    <w:abstractNumId w:val="8"/>
  </w:num>
  <w:num w:numId="13">
    <w:abstractNumId w:val="1"/>
  </w:num>
  <w:num w:numId="14">
    <w:abstractNumId w:val="7"/>
  </w:num>
  <w:num w:numId="15">
    <w:abstractNumId w:val="10"/>
  </w:num>
  <w:num w:numId="16">
    <w:abstractNumId w:val="2"/>
  </w:num>
  <w:num w:numId="17">
    <w:abstractNumId w:val="19"/>
  </w:num>
  <w:num w:numId="18">
    <w:abstractNumId w:val="15"/>
  </w:num>
  <w:num w:numId="19">
    <w:abstractNumId w:val="0"/>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83"/>
    <w:rsid w:val="000C3AB3"/>
    <w:rsid w:val="000C72D4"/>
    <w:rsid w:val="00177EED"/>
    <w:rsid w:val="001C6291"/>
    <w:rsid w:val="004800F9"/>
    <w:rsid w:val="00735AF7"/>
    <w:rsid w:val="00795F07"/>
    <w:rsid w:val="009D4EF9"/>
    <w:rsid w:val="00A05783"/>
    <w:rsid w:val="00BB1551"/>
    <w:rsid w:val="00C10A3C"/>
    <w:rsid w:val="00CE3107"/>
    <w:rsid w:val="00CE6FD8"/>
    <w:rsid w:val="00D103B5"/>
    <w:rsid w:val="00D77D06"/>
    <w:rsid w:val="00E75F0F"/>
    <w:rsid w:val="00F42D95"/>
    <w:rsid w:val="00F940F5"/>
    <w:rsid w:val="00FA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FB9B6"/>
  <w15:chartTrackingRefBased/>
  <w15:docId w15:val="{206C101C-75E4-42E2-A7A4-9C0C8D24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05783"/>
    <w:pPr>
      <w:widowControl w:val="0"/>
      <w:jc w:val="both"/>
    </w:pPr>
    <w:rPr>
      <w:rFonts w:ascii="Times New Roman" w:eastAsia="宋体" w:hAnsi="Times New Roman" w:cs="Times New Roman"/>
      <w:szCs w:val="24"/>
    </w:rPr>
  </w:style>
  <w:style w:type="paragraph" w:styleId="1">
    <w:name w:val="heading 1"/>
    <w:basedOn w:val="a2"/>
    <w:next w:val="a2"/>
    <w:link w:val="10"/>
    <w:uiPriority w:val="9"/>
    <w:qFormat/>
    <w:rsid w:val="001C6291"/>
    <w:pPr>
      <w:keepNext/>
      <w:keepLines/>
      <w:spacing w:before="340" w:after="330" w:line="578" w:lineRule="auto"/>
      <w:outlineLvl w:val="0"/>
    </w:pPr>
    <w:rPr>
      <w:b/>
      <w:bCs/>
      <w:kern w:val="44"/>
      <w:sz w:val="44"/>
      <w:szCs w:val="44"/>
    </w:rPr>
  </w:style>
  <w:style w:type="paragraph" w:styleId="20">
    <w:name w:val="heading 2"/>
    <w:basedOn w:val="a2"/>
    <w:next w:val="a2"/>
    <w:link w:val="21"/>
    <w:uiPriority w:val="9"/>
    <w:unhideWhenUsed/>
    <w:qFormat/>
    <w:rsid w:val="00177EE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Default">
    <w:name w:val="Default"/>
    <w:rsid w:val="00A05783"/>
    <w:pPr>
      <w:widowControl w:val="0"/>
      <w:autoSpaceDE w:val="0"/>
      <w:autoSpaceDN w:val="0"/>
      <w:adjustRightInd w:val="0"/>
    </w:pPr>
    <w:rPr>
      <w:rFonts w:ascii="黑体" w:eastAsia="黑体" w:cs="黑体"/>
      <w:color w:val="000000"/>
      <w:kern w:val="0"/>
      <w:sz w:val="24"/>
      <w:szCs w:val="24"/>
    </w:rPr>
  </w:style>
  <w:style w:type="paragraph" w:customStyle="1" w:styleId="a6">
    <w:name w:val="图名表名"/>
    <w:basedOn w:val="a2"/>
    <w:link w:val="Char"/>
    <w:qFormat/>
    <w:rsid w:val="00177EED"/>
    <w:pPr>
      <w:adjustRightInd w:val="0"/>
      <w:snapToGrid w:val="0"/>
      <w:spacing w:line="480" w:lineRule="exact"/>
      <w:jc w:val="center"/>
    </w:pPr>
    <w:rPr>
      <w:rFonts w:ascii="黑体" w:eastAsia="黑体" w:hAnsi="黑体"/>
      <w:b/>
      <w:kern w:val="0"/>
      <w:sz w:val="24"/>
      <w:szCs w:val="20"/>
      <w:lang w:val="x-none" w:eastAsia="x-none"/>
    </w:rPr>
  </w:style>
  <w:style w:type="character" w:customStyle="1" w:styleId="Char">
    <w:name w:val="图名表名 Char"/>
    <w:link w:val="a6"/>
    <w:locked/>
    <w:rsid w:val="00177EED"/>
    <w:rPr>
      <w:rFonts w:ascii="黑体" w:eastAsia="黑体" w:hAnsi="黑体" w:cs="Times New Roman"/>
      <w:b/>
      <w:kern w:val="0"/>
      <w:sz w:val="24"/>
      <w:szCs w:val="20"/>
      <w:lang w:val="x-none" w:eastAsia="x-none"/>
    </w:rPr>
  </w:style>
  <w:style w:type="paragraph" w:customStyle="1" w:styleId="a0">
    <w:name w:val="条目"/>
    <w:basedOn w:val="a7"/>
    <w:next w:val="a2"/>
    <w:qFormat/>
    <w:rsid w:val="00177EED"/>
    <w:pPr>
      <w:widowControl/>
      <w:numPr>
        <w:ilvl w:val="1"/>
        <w:numId w:val="1"/>
      </w:numPr>
      <w:shd w:val="clear" w:color="auto" w:fill="FFFFFF"/>
      <w:tabs>
        <w:tab w:val="num" w:pos="360"/>
      </w:tabs>
      <w:spacing w:beforeLines="50" w:before="156" w:afterLines="50" w:after="156" w:line="276" w:lineRule="auto"/>
      <w:ind w:left="0" w:firstLine="0"/>
      <w:jc w:val="left"/>
      <w:outlineLvl w:val="1"/>
    </w:pPr>
    <w:rPr>
      <w:rFonts w:ascii="宋體" w:hAnsi="宋体" w:cs="宋体"/>
      <w:b/>
      <w:color w:val="313131"/>
      <w:kern w:val="0"/>
      <w:sz w:val="21"/>
      <w:szCs w:val="21"/>
    </w:rPr>
  </w:style>
  <w:style w:type="paragraph" w:customStyle="1" w:styleId="a">
    <w:name w:val="章标题"/>
    <w:basedOn w:val="a7"/>
    <w:qFormat/>
    <w:rsid w:val="00177EED"/>
    <w:pPr>
      <w:keepNext/>
      <w:pageBreakBefore/>
      <w:widowControl/>
      <w:numPr>
        <w:numId w:val="1"/>
      </w:numPr>
      <w:shd w:val="clear" w:color="auto" w:fill="FFFFFF"/>
      <w:tabs>
        <w:tab w:val="num" w:pos="360"/>
      </w:tabs>
      <w:spacing w:line="276" w:lineRule="auto"/>
      <w:ind w:left="136" w:hanging="136"/>
      <w:jc w:val="center"/>
      <w:outlineLvl w:val="0"/>
    </w:pPr>
    <w:rPr>
      <w:rFonts w:ascii="宋体" w:hAnsi="宋体" w:cs="宋体"/>
      <w:b/>
      <w:color w:val="313131"/>
      <w:kern w:val="0"/>
    </w:rPr>
  </w:style>
  <w:style w:type="paragraph" w:customStyle="1" w:styleId="2">
    <w:name w:val="样式 样式 样式 样式 样式 样式 样式 样式 样式 样式 样式 (中文) 黑体 小四 首行缩进:  2 字符 行距: 固定值 ..."/>
    <w:basedOn w:val="a2"/>
    <w:rsid w:val="00177EED"/>
    <w:pPr>
      <w:numPr>
        <w:numId w:val="2"/>
      </w:numPr>
      <w:spacing w:beforeLines="50" w:before="156" w:afterLines="50" w:after="156" w:line="440" w:lineRule="exact"/>
    </w:pPr>
    <w:rPr>
      <w:rFonts w:ascii="黑体" w:eastAsia="黑体" w:hAnsi="宋体" w:cs="宋体"/>
      <w:b/>
      <w:bCs/>
      <w:sz w:val="28"/>
      <w:szCs w:val="20"/>
    </w:rPr>
  </w:style>
  <w:style w:type="paragraph" w:customStyle="1" w:styleId="222">
    <w:name w:val="样式 样式 样式 首行缩进:  2 字符 + 首行缩进:  2 字符 + 首行缩进:  2 字符"/>
    <w:basedOn w:val="a2"/>
    <w:rsid w:val="00177EED"/>
    <w:pPr>
      <w:spacing w:line="360" w:lineRule="auto"/>
      <w:ind w:firstLineChars="200" w:firstLine="200"/>
    </w:pPr>
    <w:rPr>
      <w:rFonts w:ascii="Arial" w:eastAsia="新宋体" w:hAnsi="Arial" w:cs="宋体"/>
      <w:sz w:val="24"/>
      <w:szCs w:val="20"/>
    </w:rPr>
  </w:style>
  <w:style w:type="paragraph" w:styleId="a7">
    <w:name w:val="Normal (Web)"/>
    <w:basedOn w:val="a2"/>
    <w:uiPriority w:val="99"/>
    <w:semiHidden/>
    <w:unhideWhenUsed/>
    <w:rsid w:val="00177EED"/>
    <w:rPr>
      <w:sz w:val="24"/>
    </w:rPr>
  </w:style>
  <w:style w:type="paragraph" w:customStyle="1" w:styleId="df">
    <w:name w:val="标题一df"/>
    <w:next w:val="a2"/>
    <w:link w:val="dfChar"/>
    <w:qFormat/>
    <w:rsid w:val="00177EED"/>
    <w:pPr>
      <w:keepNext/>
      <w:spacing w:beforeLines="40" w:before="40" w:afterLines="30" w:after="30" w:line="276" w:lineRule="auto"/>
      <w:outlineLvl w:val="2"/>
    </w:pPr>
    <w:rPr>
      <w:rFonts w:ascii="微软雅黑" w:eastAsia="黑体" w:hAnsi="微软雅黑"/>
      <w:b/>
      <w:sz w:val="32"/>
      <w:szCs w:val="30"/>
    </w:rPr>
  </w:style>
  <w:style w:type="character" w:customStyle="1" w:styleId="dfChar">
    <w:name w:val="标题一df Char"/>
    <w:basedOn w:val="a3"/>
    <w:link w:val="df"/>
    <w:rsid w:val="00177EED"/>
    <w:rPr>
      <w:rFonts w:ascii="微软雅黑" w:eastAsia="黑体" w:hAnsi="微软雅黑"/>
      <w:b/>
      <w:sz w:val="32"/>
      <w:szCs w:val="30"/>
    </w:rPr>
  </w:style>
  <w:style w:type="paragraph" w:customStyle="1" w:styleId="a8">
    <w:name w:val="条目正文"/>
    <w:basedOn w:val="a2"/>
    <w:link w:val="Char0"/>
    <w:qFormat/>
    <w:rsid w:val="00177EED"/>
    <w:pPr>
      <w:spacing w:line="276" w:lineRule="auto"/>
      <w:ind w:firstLineChars="200" w:firstLine="420"/>
    </w:pPr>
    <w:rPr>
      <w:szCs w:val="21"/>
    </w:rPr>
  </w:style>
  <w:style w:type="paragraph" w:customStyle="1" w:styleId="a1">
    <w:name w:val="表标题"/>
    <w:basedOn w:val="a7"/>
    <w:link w:val="Char1"/>
    <w:qFormat/>
    <w:rsid w:val="00177EED"/>
    <w:pPr>
      <w:widowControl/>
      <w:numPr>
        <w:ilvl w:val="1"/>
        <w:numId w:val="4"/>
      </w:numPr>
      <w:spacing w:beforeLines="50" w:before="156"/>
      <w:jc w:val="center"/>
    </w:pPr>
    <w:rPr>
      <w:rFonts w:ascii="仿宋" w:eastAsia="仿宋" w:hAnsi="仿宋" w:cs="宋体"/>
      <w:b/>
      <w:kern w:val="0"/>
      <w:sz w:val="21"/>
      <w:szCs w:val="21"/>
    </w:rPr>
  </w:style>
  <w:style w:type="character" w:customStyle="1" w:styleId="Char0">
    <w:name w:val="条目正文 Char"/>
    <w:link w:val="a8"/>
    <w:rsid w:val="00177EED"/>
    <w:rPr>
      <w:rFonts w:ascii="Times New Roman" w:eastAsia="宋体" w:hAnsi="Times New Roman" w:cs="Times New Roman"/>
      <w:szCs w:val="21"/>
    </w:rPr>
  </w:style>
  <w:style w:type="character" w:customStyle="1" w:styleId="Char1">
    <w:name w:val="表标题 Char"/>
    <w:link w:val="a1"/>
    <w:rsid w:val="00177EED"/>
    <w:rPr>
      <w:rFonts w:ascii="仿宋" w:eastAsia="仿宋" w:hAnsi="仿宋" w:cs="宋体"/>
      <w:b/>
      <w:kern w:val="0"/>
      <w:szCs w:val="21"/>
    </w:rPr>
  </w:style>
  <w:style w:type="character" w:customStyle="1" w:styleId="21">
    <w:name w:val="标题 2 字符"/>
    <w:basedOn w:val="a3"/>
    <w:link w:val="20"/>
    <w:uiPriority w:val="9"/>
    <w:rsid w:val="00177EED"/>
    <w:rPr>
      <w:rFonts w:asciiTheme="majorHAnsi" w:eastAsiaTheme="majorEastAsia" w:hAnsiTheme="majorHAnsi" w:cstheme="majorBidi"/>
      <w:b/>
      <w:bCs/>
      <w:sz w:val="32"/>
      <w:szCs w:val="32"/>
    </w:rPr>
  </w:style>
  <w:style w:type="character" w:customStyle="1" w:styleId="10">
    <w:name w:val="标题 1 字符"/>
    <w:basedOn w:val="a3"/>
    <w:link w:val="1"/>
    <w:uiPriority w:val="9"/>
    <w:rsid w:val="001C6291"/>
    <w:rPr>
      <w:rFonts w:ascii="Times New Roman" w:eastAsia="宋体" w:hAnsi="Times New Roman" w:cs="Times New Roman"/>
      <w:b/>
      <w:bCs/>
      <w:kern w:val="44"/>
      <w:sz w:val="44"/>
      <w:szCs w:val="44"/>
    </w:rPr>
  </w:style>
  <w:style w:type="paragraph" w:styleId="a9">
    <w:name w:val="header"/>
    <w:basedOn w:val="a2"/>
    <w:link w:val="aa"/>
    <w:uiPriority w:val="99"/>
    <w:unhideWhenUsed/>
    <w:rsid w:val="00BB155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3"/>
    <w:link w:val="a9"/>
    <w:uiPriority w:val="99"/>
    <w:rsid w:val="00BB1551"/>
    <w:rPr>
      <w:rFonts w:ascii="Times New Roman" w:eastAsia="宋体" w:hAnsi="Times New Roman" w:cs="Times New Roman"/>
      <w:sz w:val="18"/>
      <w:szCs w:val="18"/>
    </w:rPr>
  </w:style>
  <w:style w:type="paragraph" w:styleId="ab">
    <w:name w:val="footer"/>
    <w:basedOn w:val="a2"/>
    <w:link w:val="ac"/>
    <w:uiPriority w:val="99"/>
    <w:unhideWhenUsed/>
    <w:rsid w:val="00BB1551"/>
    <w:pPr>
      <w:tabs>
        <w:tab w:val="center" w:pos="4153"/>
        <w:tab w:val="right" w:pos="8306"/>
      </w:tabs>
      <w:snapToGrid w:val="0"/>
      <w:jc w:val="left"/>
    </w:pPr>
    <w:rPr>
      <w:sz w:val="18"/>
      <w:szCs w:val="18"/>
    </w:rPr>
  </w:style>
  <w:style w:type="character" w:customStyle="1" w:styleId="ac">
    <w:name w:val="页脚 字符"/>
    <w:basedOn w:val="a3"/>
    <w:link w:val="ab"/>
    <w:uiPriority w:val="99"/>
    <w:rsid w:val="00BB155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29</Pages>
  <Words>2566</Words>
  <Characters>14629</Characters>
  <Application>Microsoft Office Word</Application>
  <DocSecurity>0</DocSecurity>
  <Lines>121</Lines>
  <Paragraphs>34</Paragraphs>
  <ScaleCrop>false</ScaleCrop>
  <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陈舒逸</dc:creator>
  <cp:keywords/>
  <dc:description/>
  <cp:lastModifiedBy>陈舒逸</cp:lastModifiedBy>
  <cp:revision>7</cp:revision>
  <dcterms:created xsi:type="dcterms:W3CDTF">2018-05-29T01:13:00Z</dcterms:created>
  <dcterms:modified xsi:type="dcterms:W3CDTF">2018-05-30T09:31:00Z</dcterms:modified>
</cp:coreProperties>
</file>